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B9" w:rsidRDefault="00513FB9"/>
    <w:tbl>
      <w:tblPr>
        <w:tblW w:w="8964" w:type="dxa"/>
        <w:tblLook w:val="0000" w:firstRow="0" w:lastRow="0" w:firstColumn="0" w:lastColumn="0" w:noHBand="0" w:noVBand="0"/>
      </w:tblPr>
      <w:tblGrid>
        <w:gridCol w:w="3456"/>
        <w:gridCol w:w="5472"/>
        <w:gridCol w:w="36"/>
      </w:tblGrid>
      <w:tr w:rsidR="00513FB9" w:rsidRPr="007D7E0B" w:rsidTr="00513FB9">
        <w:trPr>
          <w:gridAfter w:val="1"/>
          <w:wAfter w:w="36" w:type="dxa"/>
        </w:trPr>
        <w:tc>
          <w:tcPr>
            <w:tcW w:w="8928" w:type="dxa"/>
            <w:gridSpan w:val="2"/>
            <w:tcBorders>
              <w:bottom w:val="single" w:sz="18" w:space="0" w:color="auto"/>
            </w:tcBorders>
          </w:tcPr>
          <w:p w:rsidR="00513FB9" w:rsidRDefault="00513FB9" w:rsidP="006D2C51">
            <w:pPr>
              <w:pStyle w:val="Infotext"/>
              <w:rPr>
                <w:rFonts w:ascii="Arial Black" w:hAnsi="Arial Black"/>
                <w:color w:val="999999"/>
                <w:sz w:val="36"/>
                <w:szCs w:val="36"/>
              </w:rPr>
            </w:pPr>
          </w:p>
          <w:p w:rsidR="00513FB9" w:rsidRDefault="0046670F" w:rsidP="006D2C51">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513FB9" w:rsidRDefault="00513FB9" w:rsidP="006D2C51">
            <w:pPr>
              <w:pStyle w:val="Infotext"/>
              <w:rPr>
                <w:rFonts w:ascii="Arial Black" w:hAnsi="Arial Black" w:cs="Arial"/>
                <w:sz w:val="36"/>
                <w:szCs w:val="36"/>
              </w:rPr>
            </w:pPr>
          </w:p>
        </w:tc>
      </w:tr>
      <w:tr w:rsidR="002A2389" w:rsidTr="00513FB9">
        <w:tc>
          <w:tcPr>
            <w:tcW w:w="3456" w:type="dxa"/>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gridSpan w:val="2"/>
            <w:tcBorders>
              <w:bottom w:val="single" w:sz="18" w:space="0" w:color="auto"/>
            </w:tcBorders>
          </w:tcPr>
          <w:p w:rsidR="002C1794" w:rsidRPr="00BE1C78" w:rsidRDefault="00BE1C78" w:rsidP="00D32B51">
            <w:pPr>
              <w:pStyle w:val="Infotext"/>
              <w:rPr>
                <w:rFonts w:ascii="Arial Black" w:hAnsi="Arial Black" w:cs="Arial"/>
                <w:sz w:val="36"/>
                <w:szCs w:val="36"/>
              </w:rPr>
            </w:pPr>
            <w:r w:rsidRPr="00BE1C78">
              <w:rPr>
                <w:rFonts w:ascii="Arial Black" w:hAnsi="Arial Black" w:cs="Arial"/>
                <w:sz w:val="36"/>
                <w:szCs w:val="36"/>
              </w:rPr>
              <w:t>HEALTH AND WELLBEING BOARD</w:t>
            </w:r>
          </w:p>
        </w:tc>
      </w:tr>
      <w:tr w:rsidR="002A2389" w:rsidTr="00513FB9">
        <w:tc>
          <w:tcPr>
            <w:tcW w:w="3456" w:type="dxa"/>
            <w:tcBorders>
              <w:top w:val="single" w:sz="18" w:space="0" w:color="auto"/>
            </w:tcBorders>
          </w:tcPr>
          <w:p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rsidR="002A2389" w:rsidRPr="00F92398" w:rsidRDefault="002A2389">
            <w:pPr>
              <w:pStyle w:val="Infotext"/>
              <w:rPr>
                <w:rFonts w:ascii="Arial Black" w:hAnsi="Arial Black" w:cs="Arial"/>
              </w:rPr>
            </w:pPr>
          </w:p>
        </w:tc>
        <w:tc>
          <w:tcPr>
            <w:tcW w:w="5508" w:type="dxa"/>
            <w:gridSpan w:val="2"/>
            <w:tcBorders>
              <w:top w:val="single" w:sz="18" w:space="0" w:color="auto"/>
            </w:tcBorders>
          </w:tcPr>
          <w:p w:rsidR="002A2389" w:rsidRDefault="00C065BA" w:rsidP="000A24AE">
            <w:pPr>
              <w:pStyle w:val="Infotext"/>
              <w:rPr>
                <w:rFonts w:cs="Arial"/>
              </w:rPr>
            </w:pPr>
            <w:r>
              <w:rPr>
                <w:rFonts w:cs="Arial"/>
              </w:rPr>
              <w:t>25 July 2019</w:t>
            </w:r>
          </w:p>
        </w:tc>
      </w:tr>
      <w:tr w:rsidR="002A2389" w:rsidTr="00513FB9">
        <w:tc>
          <w:tcPr>
            <w:tcW w:w="3456" w:type="dxa"/>
          </w:tcPr>
          <w:p w:rsidR="002A2389" w:rsidRPr="00F92398" w:rsidRDefault="002A2389">
            <w:pPr>
              <w:pStyle w:val="Infotext"/>
              <w:rPr>
                <w:rFonts w:ascii="Arial Black" w:hAnsi="Arial Black" w:cs="Arial"/>
              </w:rPr>
            </w:pPr>
            <w:r w:rsidRPr="00F92398">
              <w:rPr>
                <w:rFonts w:ascii="Arial Black" w:hAnsi="Arial Black" w:cs="Arial"/>
              </w:rPr>
              <w:t>Subject:</w:t>
            </w:r>
          </w:p>
          <w:p w:rsidR="002A2389" w:rsidRPr="00F92398" w:rsidRDefault="002A2389">
            <w:pPr>
              <w:pStyle w:val="Infotext"/>
              <w:rPr>
                <w:rFonts w:ascii="Arial Black" w:hAnsi="Arial Black"/>
              </w:rPr>
            </w:pPr>
          </w:p>
        </w:tc>
        <w:tc>
          <w:tcPr>
            <w:tcW w:w="5508" w:type="dxa"/>
            <w:gridSpan w:val="2"/>
          </w:tcPr>
          <w:p w:rsidR="00C065BA" w:rsidRPr="00C065BA" w:rsidRDefault="00C065BA" w:rsidP="00C065BA">
            <w:pPr>
              <w:rPr>
                <w:rFonts w:cs="Arial"/>
                <w:sz w:val="28"/>
                <w:szCs w:val="28"/>
              </w:rPr>
            </w:pPr>
            <w:r w:rsidRPr="00C065BA">
              <w:rPr>
                <w:rFonts w:cs="Arial"/>
                <w:sz w:val="28"/>
                <w:szCs w:val="28"/>
              </w:rPr>
              <w:t>Harrow Adult Substance Misuse Service</w:t>
            </w:r>
          </w:p>
          <w:p w:rsidR="002A2389" w:rsidRPr="00C065BA" w:rsidRDefault="002A2389">
            <w:pPr>
              <w:pStyle w:val="Infotext"/>
              <w:rPr>
                <w:rFonts w:cs="Arial"/>
                <w:szCs w:val="28"/>
              </w:rPr>
            </w:pPr>
          </w:p>
        </w:tc>
      </w:tr>
      <w:tr w:rsidR="002A2389" w:rsidTr="00513FB9">
        <w:tc>
          <w:tcPr>
            <w:tcW w:w="3456" w:type="dxa"/>
          </w:tcPr>
          <w:p w:rsidR="002A2389" w:rsidRPr="00F92398" w:rsidRDefault="002A2389">
            <w:pPr>
              <w:pStyle w:val="Infotext"/>
              <w:rPr>
                <w:rFonts w:ascii="Arial Black" w:hAnsi="Arial Black" w:cs="Arial"/>
              </w:rPr>
            </w:pPr>
            <w:r w:rsidRPr="00F92398">
              <w:rPr>
                <w:rFonts w:ascii="Arial Black" w:hAnsi="Arial Black" w:cs="Arial"/>
              </w:rPr>
              <w:t>Responsible Officer:</w:t>
            </w:r>
          </w:p>
          <w:p w:rsidR="002A2389" w:rsidRPr="00F92398" w:rsidRDefault="002A2389">
            <w:pPr>
              <w:pStyle w:val="Infotext"/>
              <w:rPr>
                <w:rFonts w:ascii="Arial Black" w:hAnsi="Arial Black" w:cs="Arial"/>
              </w:rPr>
            </w:pPr>
          </w:p>
        </w:tc>
        <w:tc>
          <w:tcPr>
            <w:tcW w:w="5508" w:type="dxa"/>
            <w:gridSpan w:val="2"/>
          </w:tcPr>
          <w:p w:rsidR="00C065BA" w:rsidRPr="00C065BA" w:rsidRDefault="00C065BA" w:rsidP="00C065BA">
            <w:pPr>
              <w:pStyle w:val="Infotext"/>
              <w:rPr>
                <w:rFonts w:cs="Arial"/>
                <w:szCs w:val="28"/>
              </w:rPr>
            </w:pPr>
            <w:r w:rsidRPr="00C065BA">
              <w:rPr>
                <w:rFonts w:cs="Arial"/>
                <w:szCs w:val="28"/>
              </w:rPr>
              <w:t>Carole Furlong</w:t>
            </w:r>
          </w:p>
          <w:p w:rsidR="007D56C8" w:rsidRPr="00C065BA" w:rsidRDefault="00C065BA" w:rsidP="00C065BA">
            <w:pPr>
              <w:pStyle w:val="Infotext"/>
              <w:rPr>
                <w:rFonts w:cs="Arial"/>
                <w:szCs w:val="28"/>
              </w:rPr>
            </w:pPr>
            <w:r w:rsidRPr="00C065BA">
              <w:rPr>
                <w:rFonts w:cs="Arial"/>
                <w:szCs w:val="28"/>
              </w:rPr>
              <w:t>Director of Public Health</w:t>
            </w:r>
          </w:p>
          <w:p w:rsidR="00C065BA" w:rsidRPr="00C065BA" w:rsidRDefault="00C065BA" w:rsidP="00C065BA">
            <w:pPr>
              <w:pStyle w:val="Infotext"/>
              <w:rPr>
                <w:rFonts w:cs="Arial"/>
                <w:szCs w:val="28"/>
              </w:rPr>
            </w:pPr>
          </w:p>
        </w:tc>
      </w:tr>
      <w:tr w:rsidR="002A2389" w:rsidTr="00513FB9">
        <w:tc>
          <w:tcPr>
            <w:tcW w:w="3456" w:type="dxa"/>
          </w:tcPr>
          <w:p w:rsidR="002A2389" w:rsidRPr="00F92398" w:rsidRDefault="00BE1C78">
            <w:pPr>
              <w:pStyle w:val="Infotext"/>
              <w:rPr>
                <w:rFonts w:ascii="Arial Black" w:hAnsi="Arial Black" w:cs="Arial"/>
              </w:rPr>
            </w:pPr>
            <w:r>
              <w:rPr>
                <w:rFonts w:ascii="Arial Black" w:hAnsi="Arial Black" w:cs="Arial"/>
              </w:rPr>
              <w:t>Public</w:t>
            </w:r>
            <w:r w:rsidR="002A2389" w:rsidRPr="00F92398">
              <w:rPr>
                <w:rFonts w:ascii="Arial Black" w:hAnsi="Arial Black" w:cs="Arial"/>
              </w:rPr>
              <w:t>:</w:t>
            </w:r>
          </w:p>
          <w:p w:rsidR="002A2389" w:rsidRPr="00F92398" w:rsidRDefault="002A2389">
            <w:pPr>
              <w:pStyle w:val="Infotext"/>
              <w:rPr>
                <w:rFonts w:ascii="Arial Black" w:hAnsi="Arial Black" w:cs="Arial"/>
              </w:rPr>
            </w:pPr>
          </w:p>
        </w:tc>
        <w:tc>
          <w:tcPr>
            <w:tcW w:w="5508" w:type="dxa"/>
            <w:gridSpan w:val="2"/>
          </w:tcPr>
          <w:p w:rsidR="00FF344E" w:rsidRPr="00C065BA" w:rsidRDefault="002A2389" w:rsidP="00FF344E">
            <w:pPr>
              <w:pStyle w:val="Infotext"/>
              <w:rPr>
                <w:rFonts w:cs="Arial"/>
              </w:rPr>
            </w:pPr>
            <w:r w:rsidRPr="00FF344E">
              <w:rPr>
                <w:rFonts w:cs="Arial"/>
              </w:rPr>
              <w:t xml:space="preserve">Yes </w:t>
            </w:r>
          </w:p>
          <w:p w:rsidR="002A2389" w:rsidRPr="00C065BA" w:rsidRDefault="002A2389">
            <w:pPr>
              <w:pStyle w:val="Infotext"/>
              <w:rPr>
                <w:rFonts w:cs="Arial"/>
                <w:highlight w:val="yellow"/>
              </w:rPr>
            </w:pPr>
          </w:p>
        </w:tc>
      </w:tr>
      <w:tr w:rsidR="00A51FAE" w:rsidTr="00513FB9">
        <w:tc>
          <w:tcPr>
            <w:tcW w:w="3456" w:type="dxa"/>
          </w:tcPr>
          <w:p w:rsidR="00A51FAE" w:rsidRDefault="00A51FAE">
            <w:pPr>
              <w:pStyle w:val="Infotext"/>
              <w:rPr>
                <w:rFonts w:ascii="Arial Black" w:hAnsi="Arial Black" w:cs="Arial"/>
              </w:rPr>
            </w:pPr>
            <w:r>
              <w:rPr>
                <w:rFonts w:ascii="Arial Black" w:hAnsi="Arial Black" w:cs="Arial"/>
              </w:rPr>
              <w:t>Wards affected:</w:t>
            </w:r>
          </w:p>
          <w:p w:rsidR="00A51FAE" w:rsidRPr="00F92398" w:rsidRDefault="00A51FAE">
            <w:pPr>
              <w:pStyle w:val="Infotext"/>
              <w:rPr>
                <w:rFonts w:ascii="Arial Black" w:hAnsi="Arial Black" w:cs="Arial"/>
              </w:rPr>
            </w:pPr>
          </w:p>
        </w:tc>
        <w:tc>
          <w:tcPr>
            <w:tcW w:w="5508" w:type="dxa"/>
            <w:gridSpan w:val="2"/>
          </w:tcPr>
          <w:p w:rsidR="00A50388" w:rsidRPr="00A50388" w:rsidRDefault="00C065BA">
            <w:pPr>
              <w:pStyle w:val="Infotext"/>
              <w:rPr>
                <w:b/>
                <w:color w:val="FF0000"/>
              </w:rPr>
            </w:pPr>
            <w:r>
              <w:t>All</w:t>
            </w:r>
          </w:p>
        </w:tc>
      </w:tr>
      <w:tr w:rsidR="002A2389" w:rsidTr="00513FB9">
        <w:tc>
          <w:tcPr>
            <w:tcW w:w="3456" w:type="dxa"/>
          </w:tcPr>
          <w:p w:rsidR="002A2389" w:rsidRPr="00F92398" w:rsidRDefault="002A2389">
            <w:pPr>
              <w:pStyle w:val="Infotext"/>
              <w:rPr>
                <w:rFonts w:ascii="Arial Black" w:hAnsi="Arial Black" w:cs="Arial"/>
              </w:rPr>
            </w:pPr>
          </w:p>
          <w:p w:rsidR="002A2389" w:rsidRPr="00F92398" w:rsidRDefault="002A2389">
            <w:pPr>
              <w:pStyle w:val="Infotext"/>
              <w:rPr>
                <w:rFonts w:ascii="Arial Black" w:hAnsi="Arial Black" w:cs="Arial"/>
              </w:rPr>
            </w:pPr>
            <w:r w:rsidRPr="00F92398">
              <w:rPr>
                <w:rFonts w:ascii="Arial Black" w:hAnsi="Arial Black" w:cs="Arial"/>
              </w:rPr>
              <w:t>Enclosures:</w:t>
            </w:r>
          </w:p>
          <w:p w:rsidR="002A2389" w:rsidRPr="00F92398" w:rsidRDefault="002A2389">
            <w:pPr>
              <w:pStyle w:val="Infotext"/>
              <w:rPr>
                <w:rFonts w:ascii="Arial Black" w:hAnsi="Arial Black" w:cs="Arial"/>
              </w:rPr>
            </w:pPr>
          </w:p>
        </w:tc>
        <w:tc>
          <w:tcPr>
            <w:tcW w:w="5508" w:type="dxa"/>
            <w:gridSpan w:val="2"/>
          </w:tcPr>
          <w:p w:rsidR="000A24AE" w:rsidRDefault="000A24AE">
            <w:pPr>
              <w:pStyle w:val="Infotext"/>
            </w:pPr>
          </w:p>
          <w:p w:rsidR="002A2389" w:rsidRDefault="00C065BA" w:rsidP="002461DD">
            <w:pPr>
              <w:pStyle w:val="Infotext"/>
            </w:pPr>
            <w:r>
              <w:t xml:space="preserve">Appendix A: </w:t>
            </w:r>
            <w:r w:rsidR="00FF344E">
              <w:t xml:space="preserve"> </w:t>
            </w:r>
            <w:r>
              <w:t>Equalities Impact Assessment</w:t>
            </w:r>
            <w:r w:rsidR="00F27A9C">
              <w:t xml:space="preserve"> </w:t>
            </w:r>
          </w:p>
        </w:tc>
      </w:tr>
    </w:tbl>
    <w:p w:rsidR="002A2389" w:rsidRDefault="002A2389">
      <w:pPr>
        <w:rPr>
          <w:rFonts w:cs="Arial"/>
        </w:rPr>
      </w:pPr>
    </w:p>
    <w:p w:rsidR="002A2389" w:rsidRDefault="002A2389">
      <w:pPr>
        <w:rPr>
          <w:rFonts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675FCB">
        <w:tc>
          <w:tcPr>
            <w:tcW w:w="8897" w:type="dxa"/>
            <w:tcBorders>
              <w:top w:val="nil"/>
              <w:left w:val="nil"/>
              <w:right w:val="nil"/>
            </w:tcBorders>
          </w:tcPr>
          <w:p w:rsidR="00675FCB" w:rsidRDefault="00675FCB" w:rsidP="00675FCB">
            <w:pPr>
              <w:pStyle w:val="Heading1"/>
            </w:pPr>
            <w:r>
              <w:t>Section 1 – Summary and Recommendations</w:t>
            </w:r>
          </w:p>
          <w:p w:rsidR="00675FCB" w:rsidRDefault="00675FCB"/>
        </w:tc>
      </w:tr>
      <w:tr w:rsidR="002A2389">
        <w:tc>
          <w:tcPr>
            <w:tcW w:w="8897" w:type="dxa"/>
          </w:tcPr>
          <w:p w:rsidR="002A2389" w:rsidRDefault="002A2389"/>
          <w:p w:rsidR="00C065BA" w:rsidRDefault="00C065BA" w:rsidP="00C065BA">
            <w:pPr>
              <w:jc w:val="both"/>
              <w:rPr>
                <w:rFonts w:cs="Arial"/>
                <w:szCs w:val="24"/>
              </w:rPr>
            </w:pPr>
            <w:r>
              <w:rPr>
                <w:rFonts w:cs="Arial"/>
                <w:szCs w:val="24"/>
              </w:rPr>
              <w:t xml:space="preserve">This report provides the Health and Well-Being Board with an update on the re-procurement of Harrow Adult </w:t>
            </w:r>
            <w:r w:rsidR="00FF344E">
              <w:rPr>
                <w:rFonts w:cs="Arial"/>
                <w:szCs w:val="24"/>
              </w:rPr>
              <w:t>S</w:t>
            </w:r>
            <w:r>
              <w:rPr>
                <w:rFonts w:cs="Arial"/>
                <w:szCs w:val="24"/>
              </w:rPr>
              <w:t>ubstance Misuse Service.</w:t>
            </w:r>
          </w:p>
          <w:p w:rsidR="00C065BA" w:rsidRPr="00C065BA" w:rsidRDefault="00C065BA" w:rsidP="00C065BA">
            <w:pPr>
              <w:jc w:val="both"/>
              <w:rPr>
                <w:szCs w:val="24"/>
                <w:highlight w:val="yellow"/>
              </w:rPr>
            </w:pPr>
          </w:p>
          <w:p w:rsidR="002A2389" w:rsidRDefault="00C065BA" w:rsidP="00C065BA">
            <w:pPr>
              <w:pStyle w:val="Heading2"/>
            </w:pPr>
            <w:r>
              <w:t>FOR INFORMATION</w:t>
            </w:r>
          </w:p>
          <w:p w:rsidR="002A2389" w:rsidRDefault="002A2389"/>
          <w:p w:rsidR="002A2389" w:rsidRDefault="002A2389">
            <w:pPr>
              <w:jc w:val="both"/>
              <w:rPr>
                <w:rFonts w:cs="Arial"/>
              </w:rPr>
            </w:pPr>
          </w:p>
        </w:tc>
      </w:tr>
    </w:tbl>
    <w:p w:rsidR="00FF71E5" w:rsidRDefault="00FF71E5">
      <w:pPr>
        <w:pStyle w:val="Heading1"/>
        <w:jc w:val="both"/>
        <w:sectPr w:rsidR="00FF71E5" w:rsidSect="00513FB9">
          <w:headerReference w:type="even" r:id="rId9"/>
          <w:headerReference w:type="default" r:id="rId10"/>
          <w:footerReference w:type="even" r:id="rId11"/>
          <w:footerReference w:type="default" r:id="rId12"/>
          <w:headerReference w:type="first" r:id="rId13"/>
          <w:footerReference w:type="first" r:id="rId14"/>
          <w:pgSz w:w="11909" w:h="16834" w:code="9"/>
          <w:pgMar w:top="864" w:right="1800" w:bottom="1440" w:left="1800" w:header="1008" w:footer="432" w:gutter="0"/>
          <w:cols w:space="720"/>
          <w:titlePg/>
          <w:docGrid w:linePitch="360"/>
        </w:sectPr>
      </w:pPr>
    </w:p>
    <w:p w:rsidR="002A2389" w:rsidRDefault="002A2389">
      <w:pPr>
        <w:pStyle w:val="Heading1"/>
        <w:jc w:val="both"/>
      </w:pPr>
      <w:r>
        <w:lastRenderedPageBreak/>
        <w:br w:type="page"/>
      </w:r>
      <w:r>
        <w:lastRenderedPageBreak/>
        <w:t>Section 2 – Report</w:t>
      </w:r>
    </w:p>
    <w:p w:rsidR="007664EC" w:rsidRDefault="007664EC" w:rsidP="00C065BA">
      <w:pPr>
        <w:pStyle w:val="Heading2"/>
        <w:rPr>
          <w:color w:val="0000FF"/>
        </w:rPr>
      </w:pPr>
    </w:p>
    <w:p w:rsidR="00C065BA" w:rsidRDefault="00C065BA" w:rsidP="007664EC">
      <w:pPr>
        <w:pStyle w:val="Heading2"/>
        <w:rPr>
          <w:color w:val="0000FF"/>
        </w:rPr>
      </w:pPr>
      <w:r>
        <w:rPr>
          <w:color w:val="0000FF"/>
        </w:rPr>
        <w:t xml:space="preserve">Background </w:t>
      </w:r>
    </w:p>
    <w:p w:rsidR="007664EC" w:rsidRPr="007664EC" w:rsidRDefault="007664EC" w:rsidP="007664EC"/>
    <w:p w:rsidR="00C065BA" w:rsidRDefault="00C065BA" w:rsidP="00C065BA">
      <w:pPr>
        <w:jc w:val="both"/>
        <w:rPr>
          <w:rFonts w:cs="Arial"/>
          <w:color w:val="000000"/>
          <w:szCs w:val="24"/>
        </w:rPr>
      </w:pPr>
      <w:r>
        <w:rPr>
          <w:rFonts w:cs="Arial"/>
          <w:color w:val="000000"/>
          <w:szCs w:val="24"/>
        </w:rPr>
        <w:t xml:space="preserve">Harrow Public Health is committed to fulfilling the requirements of the National Drugs Strategy (2017), The Government Alcohol Strategy (2012), </w:t>
      </w:r>
      <w:r w:rsidR="00F87658">
        <w:rPr>
          <w:color w:val="000000"/>
          <w:szCs w:val="24"/>
        </w:rPr>
        <w:t>Public Health England (</w:t>
      </w:r>
      <w:r>
        <w:rPr>
          <w:rFonts w:cs="Arial"/>
          <w:color w:val="000000"/>
          <w:szCs w:val="24"/>
        </w:rPr>
        <w:t>PHE</w:t>
      </w:r>
      <w:r w:rsidR="00F87658">
        <w:rPr>
          <w:rFonts w:cs="Arial"/>
          <w:color w:val="000000"/>
          <w:szCs w:val="24"/>
        </w:rPr>
        <w:t>)</w:t>
      </w:r>
      <w:r>
        <w:rPr>
          <w:rFonts w:cs="Arial"/>
          <w:color w:val="000000"/>
          <w:szCs w:val="24"/>
        </w:rPr>
        <w:t xml:space="preserve"> </w:t>
      </w:r>
      <w:r>
        <w:rPr>
          <w:rFonts w:cs="Arial"/>
          <w:color w:val="000000"/>
        </w:rPr>
        <w:t>‘</w:t>
      </w:r>
      <w:r>
        <w:rPr>
          <w:rFonts w:cs="Arial"/>
          <w:bCs/>
          <w:kern w:val="36"/>
          <w:szCs w:val="24"/>
          <w:lang w:val="en" w:eastAsia="en-GB"/>
        </w:rPr>
        <w:t>Safeguarding and Promoting the Welfare of Children Affected by Parental Alcohol and Drug Use: a guide for local authorities</w:t>
      </w:r>
      <w:r>
        <w:rPr>
          <w:rFonts w:cs="Arial"/>
          <w:bCs/>
          <w:kern w:val="36"/>
          <w:lang w:val="en"/>
        </w:rPr>
        <w:t>’ (</w:t>
      </w:r>
      <w:r>
        <w:rPr>
          <w:rFonts w:cs="Arial"/>
          <w:szCs w:val="24"/>
          <w:lang w:val="en" w:eastAsia="en-GB"/>
        </w:rPr>
        <w:t>2018</w:t>
      </w:r>
      <w:r>
        <w:rPr>
          <w:rFonts w:cs="Arial"/>
          <w:lang w:val="en"/>
        </w:rPr>
        <w:t xml:space="preserve">), </w:t>
      </w:r>
      <w:r>
        <w:rPr>
          <w:rFonts w:cs="Arial"/>
          <w:color w:val="000000"/>
          <w:szCs w:val="24"/>
        </w:rPr>
        <w:t xml:space="preserve">and </w:t>
      </w:r>
      <w:r w:rsidR="000E6DF4">
        <w:rPr>
          <w:rFonts w:cs="Arial"/>
          <w:color w:val="000000"/>
          <w:szCs w:val="24"/>
        </w:rPr>
        <w:t>Department of Health and Social Care (</w:t>
      </w:r>
      <w:r>
        <w:rPr>
          <w:rFonts w:cs="Arial"/>
          <w:color w:val="000000"/>
        </w:rPr>
        <w:t>DoHSC</w:t>
      </w:r>
      <w:r w:rsidR="000E6DF4">
        <w:rPr>
          <w:rFonts w:cs="Arial"/>
          <w:color w:val="000000"/>
        </w:rPr>
        <w:t>)</w:t>
      </w:r>
      <w:r>
        <w:rPr>
          <w:rFonts w:cs="Arial"/>
          <w:color w:val="000000"/>
        </w:rPr>
        <w:t xml:space="preserve"> - </w:t>
      </w:r>
      <w:r>
        <w:rPr>
          <w:rFonts w:cs="Arial"/>
          <w:bCs/>
          <w:kern w:val="36"/>
          <w:szCs w:val="24"/>
          <w:lang w:val="en" w:eastAsia="en-GB"/>
        </w:rPr>
        <w:t xml:space="preserve">Public Health Outcomes Framework: </w:t>
      </w:r>
      <w:r>
        <w:rPr>
          <w:rFonts w:cs="Arial"/>
          <w:color w:val="000000"/>
          <w:szCs w:val="24"/>
        </w:rPr>
        <w:t xml:space="preserve">Improving Outcomes and Supporting Transparency (2016). </w:t>
      </w:r>
    </w:p>
    <w:p w:rsidR="00C065BA" w:rsidRDefault="00C065BA" w:rsidP="00C065BA">
      <w:pPr>
        <w:jc w:val="both"/>
        <w:rPr>
          <w:rFonts w:cs="Arial"/>
          <w:color w:val="000000"/>
          <w:szCs w:val="24"/>
        </w:rPr>
      </w:pPr>
    </w:p>
    <w:p w:rsidR="007664EC" w:rsidRDefault="007664EC" w:rsidP="007664EC">
      <w:pPr>
        <w:jc w:val="both"/>
        <w:rPr>
          <w:szCs w:val="24"/>
        </w:rPr>
      </w:pPr>
      <w:r>
        <w:rPr>
          <w:color w:val="000000"/>
          <w:szCs w:val="24"/>
        </w:rPr>
        <w:t>As part of the P</w:t>
      </w:r>
      <w:r w:rsidR="00F87658">
        <w:rPr>
          <w:color w:val="000000"/>
          <w:szCs w:val="24"/>
        </w:rPr>
        <w:t>HE</w:t>
      </w:r>
      <w:r>
        <w:rPr>
          <w:color w:val="000000"/>
          <w:szCs w:val="24"/>
        </w:rPr>
        <w:t xml:space="preserve"> Requirements laid out in the Health and Social Care Act 2012,</w:t>
      </w:r>
      <w:r>
        <w:rPr>
          <w:color w:val="0000FF"/>
          <w:szCs w:val="24"/>
        </w:rPr>
        <w:t xml:space="preserve"> </w:t>
      </w:r>
      <w:r>
        <w:rPr>
          <w:color w:val="000000"/>
          <w:szCs w:val="24"/>
        </w:rPr>
        <w:t xml:space="preserve">local authorities are responsible for commissioning health and social care services for residents. </w:t>
      </w:r>
    </w:p>
    <w:p w:rsidR="007664EC" w:rsidRDefault="007664EC" w:rsidP="007664EC">
      <w:pPr>
        <w:jc w:val="both"/>
        <w:rPr>
          <w:szCs w:val="24"/>
        </w:rPr>
      </w:pPr>
    </w:p>
    <w:p w:rsidR="007664EC" w:rsidRDefault="007664EC" w:rsidP="007664EC">
      <w:pPr>
        <w:spacing w:line="276" w:lineRule="auto"/>
        <w:jc w:val="both"/>
        <w:rPr>
          <w:rFonts w:cs="Arial"/>
        </w:rPr>
      </w:pPr>
      <w:r>
        <w:rPr>
          <w:rFonts w:cs="Arial"/>
        </w:rPr>
        <w:t>The commissioning of this Service enables the Council to discharge it’s duties in relation to the:</w:t>
      </w:r>
    </w:p>
    <w:p w:rsidR="0028146E" w:rsidRDefault="0028146E" w:rsidP="007664EC">
      <w:pPr>
        <w:spacing w:line="276" w:lineRule="auto"/>
        <w:jc w:val="both"/>
        <w:rPr>
          <w:rFonts w:cs="Arial"/>
        </w:rPr>
      </w:pPr>
    </w:p>
    <w:p w:rsidR="007664EC" w:rsidRDefault="007664EC" w:rsidP="007664EC">
      <w:pPr>
        <w:numPr>
          <w:ilvl w:val="0"/>
          <w:numId w:val="16"/>
        </w:numPr>
        <w:jc w:val="both"/>
        <w:rPr>
          <w:rFonts w:cs="Arial"/>
          <w:lang w:eastAsia="en-GB"/>
        </w:rPr>
      </w:pPr>
      <w:r>
        <w:rPr>
          <w:rFonts w:cs="Arial"/>
          <w:b/>
          <w:lang w:eastAsia="en-GB"/>
        </w:rPr>
        <w:t>Health and Social Care Act 2012</w:t>
      </w:r>
      <w:r>
        <w:rPr>
          <w:rFonts w:cs="Arial"/>
          <w:lang w:eastAsia="en-GB"/>
        </w:rPr>
        <w:t>: to commission best value and effective services which deliver better outcomes for local residents in relation to their health/wellbeing.</w:t>
      </w:r>
    </w:p>
    <w:p w:rsidR="007664EC" w:rsidRDefault="007664EC" w:rsidP="007664EC">
      <w:pPr>
        <w:numPr>
          <w:ilvl w:val="0"/>
          <w:numId w:val="16"/>
        </w:numPr>
        <w:jc w:val="both"/>
        <w:rPr>
          <w:rFonts w:cs="Arial"/>
          <w:lang w:eastAsia="en-GB"/>
        </w:rPr>
      </w:pPr>
      <w:r>
        <w:rPr>
          <w:rFonts w:cs="Arial"/>
          <w:b/>
          <w:lang w:eastAsia="en-GB"/>
        </w:rPr>
        <w:t>Criminal Justice Act 1991</w:t>
      </w:r>
      <w:r>
        <w:rPr>
          <w:rFonts w:cs="Arial"/>
          <w:lang w:eastAsia="en-GB"/>
        </w:rPr>
        <w:t>: to provide community treatment to offenders.</w:t>
      </w:r>
    </w:p>
    <w:p w:rsidR="007664EC" w:rsidRDefault="007664EC" w:rsidP="007664EC">
      <w:pPr>
        <w:numPr>
          <w:ilvl w:val="0"/>
          <w:numId w:val="16"/>
        </w:numPr>
        <w:jc w:val="both"/>
        <w:rPr>
          <w:rFonts w:cs="Arial"/>
          <w:lang w:eastAsia="en-GB"/>
        </w:rPr>
      </w:pPr>
      <w:r>
        <w:rPr>
          <w:rFonts w:cs="Arial"/>
          <w:b/>
          <w:lang w:eastAsia="en-GB"/>
        </w:rPr>
        <w:t>Children’s Act 1989</w:t>
      </w:r>
      <w:r>
        <w:rPr>
          <w:rFonts w:cs="Arial"/>
          <w:lang w:eastAsia="en-GB"/>
        </w:rPr>
        <w:t>: to “safeguard and promote the welfare of children within their area who are in need  and so far as is consistent with that duty, to promote the upbringing of such children by their families by providing a range and level of services appropriate to those children’s needs”.</w:t>
      </w:r>
    </w:p>
    <w:p w:rsidR="007664EC" w:rsidRDefault="007664EC" w:rsidP="00C065BA">
      <w:pPr>
        <w:tabs>
          <w:tab w:val="left" w:pos="567"/>
        </w:tabs>
        <w:ind w:hanging="426"/>
        <w:jc w:val="both"/>
        <w:rPr>
          <w:rFonts w:cs="Arial"/>
          <w:color w:val="000000"/>
          <w:szCs w:val="24"/>
        </w:rPr>
      </w:pPr>
    </w:p>
    <w:p w:rsidR="00C065BA" w:rsidRDefault="00C065BA" w:rsidP="00C065BA">
      <w:pPr>
        <w:jc w:val="both"/>
        <w:rPr>
          <w:rFonts w:cs="Arial"/>
          <w:szCs w:val="24"/>
        </w:rPr>
      </w:pPr>
    </w:p>
    <w:p w:rsidR="00C065BA" w:rsidRDefault="00C065BA" w:rsidP="00C065BA">
      <w:pPr>
        <w:pStyle w:val="Heading2"/>
        <w:rPr>
          <w:color w:val="0000FF"/>
        </w:rPr>
      </w:pPr>
      <w:r>
        <w:rPr>
          <w:color w:val="0000FF"/>
        </w:rPr>
        <w:t>Current situation</w:t>
      </w:r>
    </w:p>
    <w:p w:rsidR="00C065BA" w:rsidRPr="00C065BA" w:rsidRDefault="00C065BA" w:rsidP="00C065BA"/>
    <w:p w:rsidR="007664EC" w:rsidRDefault="007664EC" w:rsidP="007664EC">
      <w:pPr>
        <w:tabs>
          <w:tab w:val="left" w:pos="567"/>
        </w:tabs>
        <w:jc w:val="both"/>
        <w:rPr>
          <w:rFonts w:cs="Arial"/>
          <w:color w:val="000000"/>
          <w:szCs w:val="24"/>
        </w:rPr>
      </w:pPr>
      <w:r>
        <w:rPr>
          <w:rFonts w:cs="Arial"/>
          <w:color w:val="000000"/>
          <w:szCs w:val="24"/>
        </w:rPr>
        <w:t>Harrow Adult Substance Misuse Service specialises in delivering drug and alcohol treatment, crime reduction interventions for drug and alcohol offenders and support for carers/families affected by substance misuse. The Service minimises the impact that substance misuse has on individuals and the wider community, ultimately making a positive contribution to addressing health inequalities and crime reduction priorities of the Safer Harrow Board.</w:t>
      </w:r>
      <w:r>
        <w:t xml:space="preserve"> An effective treatment and recovery service can make a significant contribution to reduction in reoffending in Harrow, reducing anti-social behaviour and support early intervention i.e. reducing numbers of children moving into higher threshold care services.</w:t>
      </w:r>
    </w:p>
    <w:p w:rsidR="007664EC" w:rsidRDefault="007664EC" w:rsidP="007664EC">
      <w:pPr>
        <w:pStyle w:val="Heading2"/>
        <w:rPr>
          <w:color w:val="0000FF"/>
        </w:rPr>
      </w:pPr>
    </w:p>
    <w:p w:rsidR="007664EC" w:rsidRDefault="007664EC" w:rsidP="007664EC">
      <w:pPr>
        <w:jc w:val="both"/>
        <w:rPr>
          <w:sz w:val="31"/>
          <w:szCs w:val="31"/>
        </w:rPr>
      </w:pPr>
      <w:r>
        <w:t xml:space="preserve">Harrow Adult Substance Misuse Service is a single treatment and recovery pathway with a Single Point of Access and ‘no wrong door’. The Service is delivered by one Provider from one site in Harrow plus co-locations within other agencies </w:t>
      </w:r>
      <w:r w:rsidR="000E6DF4">
        <w:rPr>
          <w:szCs w:val="24"/>
        </w:rPr>
        <w:t xml:space="preserve">including L.A. </w:t>
      </w:r>
      <w:r>
        <w:rPr>
          <w:szCs w:val="24"/>
        </w:rPr>
        <w:t xml:space="preserve">Harrow Children’s Service, Mental Health Service and Criminal Justice Service. As part of the Harrow Adult Substance Misuse Service in-house </w:t>
      </w:r>
      <w:r w:rsidR="000E6DF4">
        <w:rPr>
          <w:szCs w:val="24"/>
        </w:rPr>
        <w:t>Education, Training and employment (</w:t>
      </w:r>
      <w:r>
        <w:rPr>
          <w:szCs w:val="24"/>
        </w:rPr>
        <w:t>ETE</w:t>
      </w:r>
      <w:r w:rsidR="000E6DF4">
        <w:rPr>
          <w:szCs w:val="24"/>
        </w:rPr>
        <w:t>)</w:t>
      </w:r>
      <w:r>
        <w:rPr>
          <w:szCs w:val="24"/>
        </w:rPr>
        <w:t xml:space="preserve"> support, </w:t>
      </w:r>
      <w:r>
        <w:rPr>
          <w:szCs w:val="24"/>
        </w:rPr>
        <w:lastRenderedPageBreak/>
        <w:t>joint work is also undertaken with L.A. Harrow Employment and Training Team.</w:t>
      </w:r>
    </w:p>
    <w:p w:rsidR="007664EC" w:rsidRDefault="007664EC" w:rsidP="007664EC">
      <w:pPr>
        <w:jc w:val="both"/>
      </w:pPr>
    </w:p>
    <w:p w:rsidR="007664EC" w:rsidRDefault="0028146E" w:rsidP="007664EC">
      <w:pPr>
        <w:jc w:val="both"/>
        <w:rPr>
          <w:rFonts w:eastAsia="Calibri" w:cs="Arial"/>
          <w:color w:val="000000"/>
          <w:szCs w:val="24"/>
          <w:lang w:eastAsia="en-GB"/>
        </w:rPr>
      </w:pPr>
      <w:r>
        <w:t>In the course of</w:t>
      </w:r>
      <w:r w:rsidR="000E6DF4">
        <w:t xml:space="preserve"> the current Substance Misuse Service contract, </w:t>
      </w:r>
      <w:r w:rsidR="007664EC">
        <w:t>Cabinet approved £0.5m reduction in the Substance Misuse Service budget</w:t>
      </w:r>
      <w:r w:rsidR="000E6DF4">
        <w:t xml:space="preserve">. The decrease in  budget </w:t>
      </w:r>
      <w:r w:rsidR="007664EC">
        <w:t xml:space="preserve">resulted (as from 2017/18) in a </w:t>
      </w:r>
      <w:r w:rsidR="007664EC">
        <w:rPr>
          <w:rFonts w:eastAsia="Calibri" w:cs="Arial"/>
          <w:szCs w:val="24"/>
        </w:rPr>
        <w:t xml:space="preserve">reduced treatment and recovery pathway and workforce including clinical </w:t>
      </w:r>
      <w:r w:rsidR="007664EC">
        <w:rPr>
          <w:rFonts w:eastAsia="Calibri" w:cs="Arial"/>
          <w:color w:val="000000"/>
          <w:szCs w:val="24"/>
          <w:lang w:eastAsia="en-GB"/>
        </w:rPr>
        <w:t>staff (e.g. deletion of Dual Diagnosis and Hospital Alcohol Liaison Nurse posts) and Recovery Practitioners including deletion of the Carers Practitioner post. Consequently Harrow has seen a decrease in clients in treatment:</w:t>
      </w:r>
    </w:p>
    <w:p w:rsidR="007664EC" w:rsidRDefault="007664EC" w:rsidP="007664EC">
      <w:pPr>
        <w:jc w:val="both"/>
        <w:rPr>
          <w:rFonts w:eastAsia="Calibri" w:cs="Arial"/>
          <w:color w:val="000000"/>
          <w:szCs w:val="24"/>
          <w:lang w:eastAsia="en-GB"/>
        </w:rPr>
      </w:pPr>
    </w:p>
    <w:tbl>
      <w:tblPr>
        <w:tblStyle w:val="TableGrid"/>
        <w:tblW w:w="0" w:type="auto"/>
        <w:tblInd w:w="108" w:type="dxa"/>
        <w:tblLook w:val="04A0" w:firstRow="1" w:lastRow="0" w:firstColumn="1" w:lastColumn="0" w:noHBand="0" w:noVBand="1"/>
      </w:tblPr>
      <w:tblGrid>
        <w:gridCol w:w="1701"/>
        <w:gridCol w:w="993"/>
        <w:gridCol w:w="993"/>
      </w:tblGrid>
      <w:tr w:rsidR="007664EC" w:rsidTr="007664EC">
        <w:tc>
          <w:tcPr>
            <w:tcW w:w="1701" w:type="dxa"/>
            <w:tcBorders>
              <w:top w:val="single" w:sz="4" w:space="0" w:color="auto"/>
              <w:left w:val="single" w:sz="4" w:space="0" w:color="auto"/>
              <w:bottom w:val="single" w:sz="4" w:space="0" w:color="auto"/>
              <w:right w:val="single" w:sz="4" w:space="0" w:color="auto"/>
            </w:tcBorders>
            <w:hideMark/>
          </w:tcPr>
          <w:p w:rsidR="007664EC" w:rsidRDefault="007664EC">
            <w:pPr>
              <w:jc w:val="both"/>
              <w:rPr>
                <w:rFonts w:eastAsia="Calibri" w:cs="Arial"/>
                <w:color w:val="000000"/>
                <w:szCs w:val="24"/>
                <w:lang w:eastAsia="en-GB"/>
              </w:rPr>
            </w:pPr>
            <w:r>
              <w:rPr>
                <w:rFonts w:eastAsia="Calibri" w:cs="Arial"/>
                <w:color w:val="000000"/>
                <w:szCs w:val="24"/>
                <w:lang w:eastAsia="en-GB"/>
              </w:rPr>
              <w:t>2017/18</w:t>
            </w:r>
          </w:p>
        </w:tc>
        <w:tc>
          <w:tcPr>
            <w:tcW w:w="993" w:type="dxa"/>
            <w:tcBorders>
              <w:top w:val="single" w:sz="4" w:space="0" w:color="auto"/>
              <w:left w:val="single" w:sz="4" w:space="0" w:color="auto"/>
              <w:bottom w:val="single" w:sz="4" w:space="0" w:color="auto"/>
              <w:right w:val="single" w:sz="4" w:space="0" w:color="auto"/>
            </w:tcBorders>
            <w:hideMark/>
          </w:tcPr>
          <w:p w:rsidR="007664EC" w:rsidRDefault="007664EC">
            <w:pPr>
              <w:jc w:val="both"/>
              <w:rPr>
                <w:rFonts w:eastAsia="Calibri" w:cs="Arial"/>
                <w:color w:val="000000"/>
                <w:szCs w:val="24"/>
                <w:lang w:eastAsia="en-GB"/>
              </w:rPr>
            </w:pPr>
            <w:r>
              <w:rPr>
                <w:rFonts w:eastAsia="Calibri" w:cs="Arial"/>
                <w:color w:val="000000"/>
                <w:szCs w:val="24"/>
                <w:lang w:eastAsia="en-GB"/>
              </w:rPr>
              <w:t>Q3</w:t>
            </w:r>
          </w:p>
        </w:tc>
        <w:tc>
          <w:tcPr>
            <w:tcW w:w="993" w:type="dxa"/>
            <w:tcBorders>
              <w:top w:val="single" w:sz="4" w:space="0" w:color="auto"/>
              <w:left w:val="single" w:sz="4" w:space="0" w:color="auto"/>
              <w:bottom w:val="single" w:sz="4" w:space="0" w:color="auto"/>
              <w:right w:val="single" w:sz="4" w:space="0" w:color="auto"/>
            </w:tcBorders>
            <w:hideMark/>
          </w:tcPr>
          <w:p w:rsidR="007664EC" w:rsidRDefault="007664EC">
            <w:pPr>
              <w:jc w:val="both"/>
              <w:rPr>
                <w:rFonts w:eastAsia="Calibri" w:cs="Arial"/>
                <w:color w:val="000000"/>
                <w:szCs w:val="24"/>
                <w:lang w:eastAsia="en-GB"/>
              </w:rPr>
            </w:pPr>
            <w:r>
              <w:rPr>
                <w:rFonts w:eastAsia="Calibri" w:cs="Arial"/>
                <w:color w:val="000000"/>
                <w:szCs w:val="24"/>
                <w:lang w:eastAsia="en-GB"/>
              </w:rPr>
              <w:t>488</w:t>
            </w:r>
          </w:p>
        </w:tc>
      </w:tr>
      <w:tr w:rsidR="007664EC" w:rsidTr="007664EC">
        <w:tc>
          <w:tcPr>
            <w:tcW w:w="1701" w:type="dxa"/>
            <w:tcBorders>
              <w:top w:val="single" w:sz="4" w:space="0" w:color="auto"/>
              <w:left w:val="single" w:sz="4" w:space="0" w:color="auto"/>
              <w:bottom w:val="single" w:sz="4" w:space="0" w:color="auto"/>
              <w:right w:val="single" w:sz="4" w:space="0" w:color="auto"/>
            </w:tcBorders>
            <w:hideMark/>
          </w:tcPr>
          <w:p w:rsidR="007664EC" w:rsidRDefault="007664EC">
            <w:pPr>
              <w:jc w:val="both"/>
              <w:rPr>
                <w:rFonts w:eastAsia="Calibri" w:cs="Arial"/>
                <w:color w:val="000000"/>
                <w:szCs w:val="24"/>
                <w:lang w:eastAsia="en-GB"/>
              </w:rPr>
            </w:pPr>
            <w:r>
              <w:rPr>
                <w:rFonts w:eastAsia="Calibri" w:cs="Arial"/>
                <w:color w:val="000000"/>
                <w:szCs w:val="24"/>
                <w:lang w:eastAsia="en-GB"/>
              </w:rPr>
              <w:t>2018/19</w:t>
            </w:r>
          </w:p>
        </w:tc>
        <w:tc>
          <w:tcPr>
            <w:tcW w:w="993" w:type="dxa"/>
            <w:tcBorders>
              <w:top w:val="single" w:sz="4" w:space="0" w:color="auto"/>
              <w:left w:val="single" w:sz="4" w:space="0" w:color="auto"/>
              <w:bottom w:val="single" w:sz="4" w:space="0" w:color="auto"/>
              <w:right w:val="single" w:sz="4" w:space="0" w:color="auto"/>
            </w:tcBorders>
            <w:hideMark/>
          </w:tcPr>
          <w:p w:rsidR="007664EC" w:rsidRDefault="007664EC">
            <w:pPr>
              <w:jc w:val="both"/>
              <w:rPr>
                <w:rFonts w:eastAsia="Calibri" w:cs="Arial"/>
                <w:color w:val="000000"/>
                <w:szCs w:val="24"/>
                <w:lang w:eastAsia="en-GB"/>
              </w:rPr>
            </w:pPr>
            <w:r>
              <w:rPr>
                <w:rFonts w:eastAsia="Calibri" w:cs="Arial"/>
                <w:color w:val="000000"/>
                <w:szCs w:val="24"/>
                <w:lang w:eastAsia="en-GB"/>
              </w:rPr>
              <w:t>Q3</w:t>
            </w:r>
          </w:p>
        </w:tc>
        <w:tc>
          <w:tcPr>
            <w:tcW w:w="993" w:type="dxa"/>
            <w:tcBorders>
              <w:top w:val="single" w:sz="4" w:space="0" w:color="auto"/>
              <w:left w:val="single" w:sz="4" w:space="0" w:color="auto"/>
              <w:bottom w:val="single" w:sz="4" w:space="0" w:color="auto"/>
              <w:right w:val="single" w:sz="4" w:space="0" w:color="auto"/>
            </w:tcBorders>
            <w:hideMark/>
          </w:tcPr>
          <w:p w:rsidR="007664EC" w:rsidRDefault="007664EC">
            <w:pPr>
              <w:jc w:val="both"/>
              <w:rPr>
                <w:rFonts w:eastAsia="Calibri" w:cs="Arial"/>
                <w:color w:val="000000"/>
                <w:szCs w:val="24"/>
                <w:lang w:eastAsia="en-GB"/>
              </w:rPr>
            </w:pPr>
            <w:r>
              <w:rPr>
                <w:rFonts w:eastAsia="Calibri" w:cs="Arial"/>
                <w:color w:val="000000"/>
                <w:szCs w:val="24"/>
                <w:lang w:eastAsia="en-GB"/>
              </w:rPr>
              <w:t>374</w:t>
            </w:r>
          </w:p>
        </w:tc>
      </w:tr>
    </w:tbl>
    <w:p w:rsidR="007664EC" w:rsidRDefault="007664EC" w:rsidP="007664EC">
      <w:pPr>
        <w:jc w:val="both"/>
        <w:rPr>
          <w:rFonts w:eastAsia="Calibri" w:cs="Arial"/>
          <w:color w:val="808080" w:themeColor="background1" w:themeShade="80"/>
          <w:sz w:val="16"/>
          <w:szCs w:val="16"/>
          <w:lang w:eastAsia="en-GB"/>
        </w:rPr>
      </w:pPr>
      <w:r>
        <w:rPr>
          <w:rFonts w:eastAsia="Calibri" w:cs="Arial"/>
          <w:color w:val="808080" w:themeColor="background1" w:themeShade="80"/>
          <w:sz w:val="16"/>
          <w:szCs w:val="16"/>
          <w:lang w:eastAsia="en-GB"/>
        </w:rPr>
        <w:t>L.A. Harrow performance data</w:t>
      </w:r>
    </w:p>
    <w:p w:rsidR="007664EC" w:rsidRDefault="007664EC" w:rsidP="007664EC">
      <w:pPr>
        <w:jc w:val="both"/>
        <w:rPr>
          <w:rFonts w:eastAsia="Calibri" w:cs="Arial"/>
          <w:color w:val="808080" w:themeColor="background1" w:themeShade="80"/>
          <w:sz w:val="16"/>
          <w:szCs w:val="16"/>
          <w:lang w:eastAsia="en-GB"/>
        </w:rPr>
      </w:pPr>
    </w:p>
    <w:p w:rsidR="007664EC" w:rsidRDefault="007664EC" w:rsidP="007664EC">
      <w:pPr>
        <w:jc w:val="both"/>
        <w:rPr>
          <w:rFonts w:eastAsia="Calibri" w:cs="Arial"/>
          <w:color w:val="000000"/>
          <w:szCs w:val="24"/>
          <w:lang w:eastAsia="en-GB"/>
        </w:rPr>
      </w:pPr>
      <w:r>
        <w:rPr>
          <w:rFonts w:eastAsia="Calibri" w:cs="Arial"/>
          <w:color w:val="000000"/>
          <w:szCs w:val="24"/>
          <w:lang w:eastAsia="en-GB"/>
        </w:rPr>
        <w:t>and high levels of unmet need across all treatment cohorts: Opiates, Non-Opiates, non-Opiates &amp; Alcohol and Alcohol:</w:t>
      </w:r>
    </w:p>
    <w:p w:rsidR="007664EC" w:rsidRDefault="007664EC" w:rsidP="007664EC">
      <w:pPr>
        <w:jc w:val="both"/>
        <w:rPr>
          <w:rFonts w:eastAsia="Calibri" w:cs="Arial"/>
          <w:color w:val="000000"/>
          <w:szCs w:val="24"/>
          <w:lang w:eastAsia="en-GB"/>
        </w:rPr>
      </w:pPr>
    </w:p>
    <w:tbl>
      <w:tblPr>
        <w:tblStyle w:val="TableGrid"/>
        <w:tblW w:w="0" w:type="auto"/>
        <w:tblInd w:w="108" w:type="dxa"/>
        <w:tblLook w:val="04A0" w:firstRow="1" w:lastRow="0" w:firstColumn="1" w:lastColumn="0" w:noHBand="0" w:noVBand="1"/>
      </w:tblPr>
      <w:tblGrid>
        <w:gridCol w:w="1597"/>
        <w:gridCol w:w="1597"/>
        <w:gridCol w:w="1705"/>
      </w:tblGrid>
      <w:tr w:rsidR="007664EC" w:rsidTr="007664EC">
        <w:tc>
          <w:tcPr>
            <w:tcW w:w="1597" w:type="dxa"/>
            <w:tcBorders>
              <w:top w:val="single" w:sz="4" w:space="0" w:color="auto"/>
              <w:left w:val="single" w:sz="4" w:space="0" w:color="auto"/>
              <w:bottom w:val="single" w:sz="4" w:space="0" w:color="auto"/>
              <w:right w:val="single" w:sz="4" w:space="0" w:color="auto"/>
            </w:tcBorders>
            <w:hideMark/>
          </w:tcPr>
          <w:p w:rsidR="007664EC" w:rsidRDefault="007664EC">
            <w:pPr>
              <w:ind w:right="-46"/>
              <w:jc w:val="both"/>
              <w:rPr>
                <w:b/>
                <w:lang w:val="en"/>
              </w:rPr>
            </w:pPr>
            <w:r>
              <w:rPr>
                <w:b/>
                <w:lang w:val="en"/>
              </w:rPr>
              <w:t>Cohort</w:t>
            </w:r>
          </w:p>
        </w:tc>
        <w:tc>
          <w:tcPr>
            <w:tcW w:w="1597" w:type="dxa"/>
            <w:tcBorders>
              <w:top w:val="single" w:sz="4" w:space="0" w:color="auto"/>
              <w:left w:val="single" w:sz="4" w:space="0" w:color="auto"/>
              <w:bottom w:val="single" w:sz="4" w:space="0" w:color="auto"/>
              <w:right w:val="single" w:sz="4" w:space="0" w:color="auto"/>
            </w:tcBorders>
            <w:hideMark/>
          </w:tcPr>
          <w:p w:rsidR="007664EC" w:rsidRDefault="007664EC">
            <w:pPr>
              <w:ind w:right="-46"/>
              <w:jc w:val="both"/>
              <w:rPr>
                <w:b/>
                <w:lang w:val="en"/>
              </w:rPr>
            </w:pPr>
            <w:r>
              <w:rPr>
                <w:b/>
                <w:lang w:val="en"/>
              </w:rPr>
              <w:t xml:space="preserve">Harrow </w:t>
            </w:r>
          </w:p>
          <w:p w:rsidR="007664EC" w:rsidRDefault="007664EC">
            <w:pPr>
              <w:ind w:right="-46"/>
              <w:jc w:val="both"/>
              <w:rPr>
                <w:b/>
                <w:lang w:val="en"/>
              </w:rPr>
            </w:pPr>
            <w:r>
              <w:rPr>
                <w:b/>
                <w:lang w:val="en"/>
              </w:rPr>
              <w:t>Unmet Need</w:t>
            </w:r>
          </w:p>
        </w:tc>
        <w:tc>
          <w:tcPr>
            <w:tcW w:w="1705" w:type="dxa"/>
            <w:tcBorders>
              <w:top w:val="single" w:sz="4" w:space="0" w:color="auto"/>
              <w:left w:val="single" w:sz="4" w:space="0" w:color="auto"/>
              <w:bottom w:val="single" w:sz="4" w:space="0" w:color="auto"/>
              <w:right w:val="single" w:sz="4" w:space="0" w:color="auto"/>
            </w:tcBorders>
            <w:hideMark/>
          </w:tcPr>
          <w:p w:rsidR="007664EC" w:rsidRDefault="007664EC">
            <w:pPr>
              <w:ind w:right="-46"/>
              <w:jc w:val="both"/>
              <w:rPr>
                <w:b/>
                <w:lang w:val="en"/>
              </w:rPr>
            </w:pPr>
            <w:r>
              <w:rPr>
                <w:b/>
                <w:lang w:val="en"/>
              </w:rPr>
              <w:t>National</w:t>
            </w:r>
          </w:p>
          <w:p w:rsidR="007664EC" w:rsidRDefault="007664EC">
            <w:pPr>
              <w:ind w:right="-46"/>
              <w:jc w:val="both"/>
              <w:rPr>
                <w:b/>
                <w:lang w:val="en"/>
              </w:rPr>
            </w:pPr>
            <w:r>
              <w:rPr>
                <w:b/>
                <w:lang w:val="en"/>
              </w:rPr>
              <w:t>Unmet Need</w:t>
            </w:r>
          </w:p>
        </w:tc>
      </w:tr>
      <w:tr w:rsidR="007664EC" w:rsidTr="007664EC">
        <w:tc>
          <w:tcPr>
            <w:tcW w:w="1597" w:type="dxa"/>
            <w:tcBorders>
              <w:top w:val="single" w:sz="4" w:space="0" w:color="auto"/>
              <w:left w:val="single" w:sz="4" w:space="0" w:color="auto"/>
              <w:bottom w:val="single" w:sz="4" w:space="0" w:color="auto"/>
              <w:right w:val="single" w:sz="4" w:space="0" w:color="auto"/>
            </w:tcBorders>
            <w:hideMark/>
          </w:tcPr>
          <w:p w:rsidR="007664EC" w:rsidRDefault="007664EC">
            <w:pPr>
              <w:ind w:right="-46"/>
              <w:jc w:val="both"/>
              <w:rPr>
                <w:lang w:val="en"/>
              </w:rPr>
            </w:pPr>
            <w:r>
              <w:rPr>
                <w:lang w:val="en"/>
              </w:rPr>
              <w:t>Opiates and /or Crack Cocaine</w:t>
            </w:r>
          </w:p>
        </w:tc>
        <w:tc>
          <w:tcPr>
            <w:tcW w:w="1597" w:type="dxa"/>
            <w:tcBorders>
              <w:top w:val="single" w:sz="4" w:space="0" w:color="auto"/>
              <w:left w:val="single" w:sz="4" w:space="0" w:color="auto"/>
              <w:bottom w:val="single" w:sz="4" w:space="0" w:color="auto"/>
              <w:right w:val="single" w:sz="4" w:space="0" w:color="auto"/>
            </w:tcBorders>
            <w:hideMark/>
          </w:tcPr>
          <w:p w:rsidR="007664EC" w:rsidRDefault="007664EC">
            <w:pPr>
              <w:ind w:right="-46"/>
              <w:jc w:val="both"/>
              <w:rPr>
                <w:lang w:val="en"/>
              </w:rPr>
            </w:pPr>
            <w:r>
              <w:rPr>
                <w:lang w:val="en"/>
              </w:rPr>
              <w:t>81.5%</w:t>
            </w:r>
          </w:p>
        </w:tc>
        <w:tc>
          <w:tcPr>
            <w:tcW w:w="1705" w:type="dxa"/>
            <w:tcBorders>
              <w:top w:val="single" w:sz="4" w:space="0" w:color="auto"/>
              <w:left w:val="single" w:sz="4" w:space="0" w:color="auto"/>
              <w:bottom w:val="single" w:sz="4" w:space="0" w:color="auto"/>
              <w:right w:val="single" w:sz="4" w:space="0" w:color="auto"/>
            </w:tcBorders>
            <w:hideMark/>
          </w:tcPr>
          <w:p w:rsidR="007664EC" w:rsidRDefault="007664EC">
            <w:pPr>
              <w:ind w:right="-46"/>
              <w:jc w:val="both"/>
              <w:rPr>
                <w:lang w:val="en"/>
              </w:rPr>
            </w:pPr>
            <w:r>
              <w:rPr>
                <w:lang w:val="en"/>
              </w:rPr>
              <w:t>51.9%</w:t>
            </w:r>
          </w:p>
        </w:tc>
      </w:tr>
      <w:tr w:rsidR="007664EC" w:rsidTr="007664EC">
        <w:tc>
          <w:tcPr>
            <w:tcW w:w="1597" w:type="dxa"/>
            <w:tcBorders>
              <w:top w:val="single" w:sz="4" w:space="0" w:color="auto"/>
              <w:left w:val="single" w:sz="4" w:space="0" w:color="auto"/>
              <w:bottom w:val="single" w:sz="4" w:space="0" w:color="auto"/>
              <w:right w:val="single" w:sz="4" w:space="0" w:color="auto"/>
            </w:tcBorders>
            <w:hideMark/>
          </w:tcPr>
          <w:p w:rsidR="007664EC" w:rsidRDefault="007664EC">
            <w:pPr>
              <w:ind w:right="-46"/>
              <w:jc w:val="both"/>
              <w:rPr>
                <w:lang w:val="en"/>
              </w:rPr>
            </w:pPr>
            <w:r>
              <w:rPr>
                <w:lang w:val="en"/>
              </w:rPr>
              <w:t>Opiates</w:t>
            </w:r>
          </w:p>
        </w:tc>
        <w:tc>
          <w:tcPr>
            <w:tcW w:w="1597" w:type="dxa"/>
            <w:tcBorders>
              <w:top w:val="single" w:sz="4" w:space="0" w:color="auto"/>
              <w:left w:val="single" w:sz="4" w:space="0" w:color="auto"/>
              <w:bottom w:val="single" w:sz="4" w:space="0" w:color="auto"/>
              <w:right w:val="single" w:sz="4" w:space="0" w:color="auto"/>
            </w:tcBorders>
            <w:hideMark/>
          </w:tcPr>
          <w:p w:rsidR="007664EC" w:rsidRDefault="007664EC">
            <w:pPr>
              <w:ind w:right="-46"/>
              <w:jc w:val="both"/>
              <w:rPr>
                <w:lang w:val="en"/>
              </w:rPr>
            </w:pPr>
            <w:r>
              <w:rPr>
                <w:lang w:val="en"/>
              </w:rPr>
              <w:t>79.3%</w:t>
            </w:r>
          </w:p>
        </w:tc>
        <w:tc>
          <w:tcPr>
            <w:tcW w:w="1705" w:type="dxa"/>
            <w:tcBorders>
              <w:top w:val="single" w:sz="4" w:space="0" w:color="auto"/>
              <w:left w:val="single" w:sz="4" w:space="0" w:color="auto"/>
              <w:bottom w:val="single" w:sz="4" w:space="0" w:color="auto"/>
              <w:right w:val="single" w:sz="4" w:space="0" w:color="auto"/>
            </w:tcBorders>
            <w:hideMark/>
          </w:tcPr>
          <w:p w:rsidR="007664EC" w:rsidRDefault="007664EC">
            <w:pPr>
              <w:ind w:right="-46"/>
              <w:jc w:val="both"/>
              <w:rPr>
                <w:lang w:val="en"/>
              </w:rPr>
            </w:pPr>
            <w:r>
              <w:rPr>
                <w:lang w:val="en"/>
              </w:rPr>
              <w:t>46.3%</w:t>
            </w:r>
          </w:p>
        </w:tc>
      </w:tr>
      <w:tr w:rsidR="007664EC" w:rsidTr="007664EC">
        <w:tc>
          <w:tcPr>
            <w:tcW w:w="1597" w:type="dxa"/>
            <w:tcBorders>
              <w:top w:val="single" w:sz="4" w:space="0" w:color="auto"/>
              <w:left w:val="single" w:sz="4" w:space="0" w:color="auto"/>
              <w:bottom w:val="single" w:sz="4" w:space="0" w:color="auto"/>
              <w:right w:val="single" w:sz="4" w:space="0" w:color="auto"/>
            </w:tcBorders>
            <w:hideMark/>
          </w:tcPr>
          <w:p w:rsidR="007664EC" w:rsidRDefault="007664EC">
            <w:pPr>
              <w:ind w:right="-46"/>
              <w:jc w:val="both"/>
              <w:rPr>
                <w:lang w:val="en"/>
              </w:rPr>
            </w:pPr>
            <w:r>
              <w:rPr>
                <w:lang w:val="en"/>
              </w:rPr>
              <w:t>Crack</w:t>
            </w:r>
          </w:p>
        </w:tc>
        <w:tc>
          <w:tcPr>
            <w:tcW w:w="1597" w:type="dxa"/>
            <w:tcBorders>
              <w:top w:val="single" w:sz="4" w:space="0" w:color="auto"/>
              <w:left w:val="single" w:sz="4" w:space="0" w:color="auto"/>
              <w:bottom w:val="single" w:sz="4" w:space="0" w:color="auto"/>
              <w:right w:val="single" w:sz="4" w:space="0" w:color="auto"/>
            </w:tcBorders>
            <w:hideMark/>
          </w:tcPr>
          <w:p w:rsidR="007664EC" w:rsidRDefault="007664EC">
            <w:pPr>
              <w:ind w:right="-46"/>
              <w:jc w:val="both"/>
              <w:rPr>
                <w:lang w:val="en"/>
              </w:rPr>
            </w:pPr>
            <w:r>
              <w:rPr>
                <w:lang w:val="en"/>
              </w:rPr>
              <w:t>82.2%</w:t>
            </w:r>
          </w:p>
        </w:tc>
        <w:tc>
          <w:tcPr>
            <w:tcW w:w="1705" w:type="dxa"/>
            <w:tcBorders>
              <w:top w:val="single" w:sz="4" w:space="0" w:color="auto"/>
              <w:left w:val="single" w:sz="4" w:space="0" w:color="auto"/>
              <w:bottom w:val="single" w:sz="4" w:space="0" w:color="auto"/>
              <w:right w:val="single" w:sz="4" w:space="0" w:color="auto"/>
            </w:tcBorders>
            <w:hideMark/>
          </w:tcPr>
          <w:p w:rsidR="007664EC" w:rsidRDefault="007664EC">
            <w:pPr>
              <w:ind w:right="-46"/>
              <w:jc w:val="both"/>
              <w:rPr>
                <w:lang w:val="en"/>
              </w:rPr>
            </w:pPr>
            <w:r>
              <w:rPr>
                <w:lang w:val="en"/>
              </w:rPr>
              <w:t>61.1%</w:t>
            </w:r>
          </w:p>
        </w:tc>
      </w:tr>
      <w:tr w:rsidR="007664EC" w:rsidTr="007664EC">
        <w:tc>
          <w:tcPr>
            <w:tcW w:w="1597" w:type="dxa"/>
            <w:tcBorders>
              <w:top w:val="single" w:sz="4" w:space="0" w:color="auto"/>
              <w:left w:val="single" w:sz="4" w:space="0" w:color="auto"/>
              <w:bottom w:val="single" w:sz="4" w:space="0" w:color="auto"/>
              <w:right w:val="single" w:sz="4" w:space="0" w:color="auto"/>
            </w:tcBorders>
            <w:hideMark/>
          </w:tcPr>
          <w:p w:rsidR="007664EC" w:rsidRDefault="007664EC">
            <w:pPr>
              <w:ind w:right="-46"/>
              <w:jc w:val="both"/>
              <w:rPr>
                <w:lang w:val="en"/>
              </w:rPr>
            </w:pPr>
            <w:r>
              <w:rPr>
                <w:lang w:val="en"/>
              </w:rPr>
              <w:t>Alcohol</w:t>
            </w:r>
          </w:p>
        </w:tc>
        <w:tc>
          <w:tcPr>
            <w:tcW w:w="1597" w:type="dxa"/>
            <w:tcBorders>
              <w:top w:val="single" w:sz="4" w:space="0" w:color="auto"/>
              <w:left w:val="single" w:sz="4" w:space="0" w:color="auto"/>
              <w:bottom w:val="single" w:sz="4" w:space="0" w:color="auto"/>
              <w:right w:val="single" w:sz="4" w:space="0" w:color="auto"/>
            </w:tcBorders>
            <w:hideMark/>
          </w:tcPr>
          <w:p w:rsidR="007664EC" w:rsidRDefault="007664EC">
            <w:pPr>
              <w:ind w:right="-46"/>
              <w:jc w:val="both"/>
              <w:rPr>
                <w:lang w:val="en"/>
              </w:rPr>
            </w:pPr>
            <w:r>
              <w:rPr>
                <w:lang w:val="en"/>
              </w:rPr>
              <w:t>84.9%</w:t>
            </w:r>
          </w:p>
        </w:tc>
        <w:tc>
          <w:tcPr>
            <w:tcW w:w="1705" w:type="dxa"/>
            <w:tcBorders>
              <w:top w:val="single" w:sz="4" w:space="0" w:color="auto"/>
              <w:left w:val="single" w:sz="4" w:space="0" w:color="auto"/>
              <w:bottom w:val="single" w:sz="4" w:space="0" w:color="auto"/>
              <w:right w:val="single" w:sz="4" w:space="0" w:color="auto"/>
            </w:tcBorders>
            <w:hideMark/>
          </w:tcPr>
          <w:p w:rsidR="007664EC" w:rsidRDefault="007664EC">
            <w:pPr>
              <w:ind w:right="-46"/>
              <w:jc w:val="both"/>
              <w:rPr>
                <w:lang w:val="en"/>
              </w:rPr>
            </w:pPr>
            <w:r>
              <w:rPr>
                <w:lang w:val="en"/>
              </w:rPr>
              <w:t>82.9%</w:t>
            </w:r>
          </w:p>
        </w:tc>
      </w:tr>
    </w:tbl>
    <w:p w:rsidR="007664EC" w:rsidRDefault="007664EC" w:rsidP="007664EC">
      <w:pPr>
        <w:ind w:right="-46"/>
        <w:jc w:val="both"/>
        <w:rPr>
          <w:rFonts w:cs="Arial"/>
          <w:bCs/>
          <w:color w:val="808080" w:themeColor="background1" w:themeShade="80"/>
          <w:sz w:val="18"/>
          <w:szCs w:val="18"/>
          <w:lang w:eastAsia="en-GB"/>
        </w:rPr>
      </w:pPr>
      <w:r>
        <w:rPr>
          <w:color w:val="808080" w:themeColor="background1" w:themeShade="80"/>
          <w:sz w:val="18"/>
          <w:szCs w:val="18"/>
          <w:lang w:val="en"/>
        </w:rPr>
        <w:t xml:space="preserve">PHE ‘Alcohol and drug misuse and treatment statistics: </w:t>
      </w:r>
      <w:r>
        <w:rPr>
          <w:rFonts w:cs="Arial"/>
          <w:bCs/>
          <w:color w:val="808080" w:themeColor="background1" w:themeShade="80"/>
          <w:sz w:val="18"/>
          <w:szCs w:val="18"/>
          <w:lang w:eastAsia="en-GB"/>
        </w:rPr>
        <w:t>The estimated proportion of people in your area who are dependent on opiates and/or crack cocaine or alcohol not in the treatment system</w:t>
      </w:r>
    </w:p>
    <w:p w:rsidR="007664EC" w:rsidRDefault="007664EC" w:rsidP="007664EC">
      <w:pPr>
        <w:ind w:right="-46"/>
        <w:jc w:val="both"/>
        <w:rPr>
          <w:rFonts w:cs="Arial"/>
          <w:bCs/>
          <w:color w:val="808080" w:themeColor="background1" w:themeShade="80"/>
          <w:sz w:val="18"/>
          <w:szCs w:val="18"/>
          <w:lang w:eastAsia="en-GB"/>
        </w:rPr>
      </w:pPr>
      <w:r>
        <w:rPr>
          <w:rFonts w:cs="Arial"/>
          <w:bCs/>
          <w:color w:val="808080" w:themeColor="background1" w:themeShade="80"/>
          <w:sz w:val="18"/>
          <w:szCs w:val="18"/>
          <w:lang w:eastAsia="en-GB"/>
        </w:rPr>
        <w:t>Prevalence period 1.4.14 - 31.3.15</w:t>
      </w:r>
    </w:p>
    <w:p w:rsidR="007664EC" w:rsidRDefault="007664EC" w:rsidP="007664EC">
      <w:pPr>
        <w:ind w:right="-46"/>
        <w:jc w:val="both"/>
        <w:rPr>
          <w:rFonts w:cs="Arial"/>
          <w:bCs/>
          <w:color w:val="808080" w:themeColor="background1" w:themeShade="80"/>
          <w:sz w:val="18"/>
          <w:szCs w:val="18"/>
          <w:lang w:eastAsia="en-GB"/>
        </w:rPr>
      </w:pPr>
      <w:r>
        <w:rPr>
          <w:rFonts w:cs="Arial"/>
          <w:bCs/>
          <w:color w:val="808080" w:themeColor="background1" w:themeShade="80"/>
          <w:sz w:val="18"/>
          <w:szCs w:val="18"/>
          <w:lang w:eastAsia="en-GB"/>
        </w:rPr>
        <w:t>Estimated unmet need rate period: 1.1.18 - 31.12.18</w:t>
      </w:r>
    </w:p>
    <w:p w:rsidR="007664EC" w:rsidRDefault="007664EC" w:rsidP="007664EC">
      <w:pPr>
        <w:ind w:right="-46"/>
        <w:jc w:val="both"/>
        <w:rPr>
          <w:rFonts w:eastAsia="Calibri" w:cs="Arial"/>
          <w:sz w:val="18"/>
          <w:szCs w:val="18"/>
          <w:lang w:eastAsia="en-GB"/>
        </w:rPr>
      </w:pPr>
    </w:p>
    <w:p w:rsidR="007664EC" w:rsidRDefault="007664EC" w:rsidP="007664EC">
      <w:pPr>
        <w:ind w:right="-46"/>
        <w:jc w:val="both"/>
        <w:rPr>
          <w:rFonts w:eastAsia="Calibri" w:cs="Arial"/>
          <w:szCs w:val="24"/>
          <w:lang w:eastAsia="en-GB"/>
        </w:rPr>
      </w:pPr>
      <w:r>
        <w:rPr>
          <w:rFonts w:eastAsia="Calibri" w:cs="Arial"/>
          <w:szCs w:val="24"/>
          <w:lang w:eastAsia="en-GB"/>
        </w:rPr>
        <w:t>The Treatment Hub at Station Road was closed and clients transferred to the Recovery Hub in Bessborough Road which now incorporates both clinical and recovery support. As one site is not enough to manage the Service caseload, the Provider has continued to seek appropriate co-location arrangements with partners.</w:t>
      </w:r>
    </w:p>
    <w:p w:rsidR="007664EC" w:rsidRDefault="007664EC" w:rsidP="007664EC">
      <w:pPr>
        <w:ind w:right="-46"/>
        <w:jc w:val="both"/>
        <w:rPr>
          <w:rFonts w:eastAsia="Calibri" w:cs="Arial"/>
          <w:szCs w:val="24"/>
          <w:lang w:eastAsia="en-GB"/>
        </w:rPr>
      </w:pPr>
    </w:p>
    <w:p w:rsidR="007664EC" w:rsidRDefault="007664EC" w:rsidP="007664EC">
      <w:pPr>
        <w:ind w:right="-46"/>
        <w:jc w:val="both"/>
        <w:rPr>
          <w:rFonts w:eastAsia="Calibri" w:cs="Arial"/>
          <w:b/>
          <w:szCs w:val="24"/>
        </w:rPr>
      </w:pPr>
      <w:r>
        <w:rPr>
          <w:rFonts w:cs="Arial"/>
          <w:color w:val="000000"/>
          <w:szCs w:val="24"/>
          <w:lang w:eastAsia="en-GB"/>
        </w:rPr>
        <w:t>Reduced recovery support has also affected the rates of successful completions in Harrow as clients may need to remain in treatment for longer to attain recovery</w:t>
      </w:r>
      <w:r>
        <w:rPr>
          <w:rFonts w:eastAsia="Calibri" w:cs="Arial"/>
          <w:szCs w:val="24"/>
          <w:lang w:eastAsia="en-GB"/>
        </w:rPr>
        <w:t>.</w:t>
      </w:r>
    </w:p>
    <w:p w:rsidR="007664EC" w:rsidRDefault="007664EC" w:rsidP="007664EC">
      <w:pPr>
        <w:ind w:right="-46"/>
        <w:jc w:val="both"/>
        <w:rPr>
          <w:rFonts w:eastAsia="Calibri" w:cs="Arial"/>
          <w:b/>
          <w:szCs w:val="24"/>
          <w:highlight w:val="lightGray"/>
        </w:rPr>
      </w:pPr>
    </w:p>
    <w:p w:rsidR="007664EC" w:rsidRDefault="007664EC" w:rsidP="007664EC">
      <w:pPr>
        <w:jc w:val="both"/>
        <w:rPr>
          <w:rFonts w:cs="Arial"/>
          <w:b/>
          <w:lang w:val="en"/>
        </w:rPr>
      </w:pPr>
      <w:r>
        <w:rPr>
          <w:rFonts w:cs="Arial"/>
          <w:b/>
          <w:lang w:val="en"/>
        </w:rPr>
        <w:t>Parental Drug and Alcohol data – Harrow</w:t>
      </w:r>
    </w:p>
    <w:p w:rsidR="007664EC" w:rsidRDefault="007664EC" w:rsidP="007664EC">
      <w:pPr>
        <w:jc w:val="both"/>
        <w:rPr>
          <w:rFonts w:cs="Arial"/>
          <w:lang w:val="en"/>
        </w:rPr>
      </w:pPr>
      <w:r>
        <w:rPr>
          <w:rFonts w:cs="Arial"/>
          <w:lang w:val="en"/>
        </w:rPr>
        <w:t xml:space="preserve">PHE published a </w:t>
      </w:r>
      <w:hyperlink r:id="rId15" w:history="1">
        <w:r>
          <w:rPr>
            <w:rStyle w:val="Hyperlink"/>
            <w:rFonts w:cs="Arial"/>
            <w:lang w:val="en"/>
          </w:rPr>
          <w:t>toolkit to support LAs in planning services</w:t>
        </w:r>
      </w:hyperlink>
      <w:r>
        <w:rPr>
          <w:rFonts w:cs="Arial"/>
        </w:rPr>
        <w:t xml:space="preserve"> which includes </w:t>
      </w:r>
      <w:r>
        <w:rPr>
          <w:rFonts w:cs="Arial"/>
          <w:lang w:val="en"/>
        </w:rPr>
        <w:t xml:space="preserve">data and advice on how best to meet the needs of children growing up in these situations and those of their parents and carers. </w:t>
      </w:r>
    </w:p>
    <w:p w:rsidR="007664EC" w:rsidRDefault="007664EC" w:rsidP="007664EC">
      <w:pPr>
        <w:jc w:val="both"/>
        <w:rPr>
          <w:rFonts w:cs="Arial"/>
          <w:lang w:val="en"/>
        </w:rPr>
      </w:pPr>
    </w:p>
    <w:p w:rsidR="000A24AE" w:rsidRDefault="000A24AE">
      <w:pPr>
        <w:rPr>
          <w:rFonts w:eastAsia="Calibri" w:cs="Arial"/>
          <w:b/>
          <w:color w:val="000000"/>
          <w:sz w:val="22"/>
          <w:szCs w:val="22"/>
          <w:lang w:eastAsia="en-GB"/>
        </w:rPr>
      </w:pPr>
      <w:r>
        <w:rPr>
          <w:rFonts w:eastAsia="Calibri" w:cs="Arial"/>
          <w:b/>
          <w:color w:val="000000"/>
          <w:sz w:val="22"/>
          <w:szCs w:val="22"/>
          <w:lang w:eastAsia="en-GB"/>
        </w:rPr>
        <w:br w:type="page"/>
      </w:r>
    </w:p>
    <w:p w:rsidR="007664EC" w:rsidRDefault="007664EC" w:rsidP="007664EC">
      <w:pPr>
        <w:jc w:val="both"/>
        <w:rPr>
          <w:rFonts w:cs="Arial"/>
          <w:b/>
          <w:sz w:val="22"/>
          <w:szCs w:val="22"/>
          <w:lang w:val="en"/>
        </w:rPr>
      </w:pPr>
      <w:r>
        <w:rPr>
          <w:rFonts w:eastAsia="Calibri" w:cs="Arial"/>
          <w:b/>
          <w:color w:val="000000"/>
          <w:sz w:val="22"/>
          <w:szCs w:val="22"/>
          <w:lang w:eastAsia="en-GB"/>
        </w:rPr>
        <w:lastRenderedPageBreak/>
        <w:t>Annual met treatment need estimates, opiate dependency 2014/15 - 2016/17</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67"/>
        <w:gridCol w:w="1276"/>
        <w:gridCol w:w="1134"/>
        <w:gridCol w:w="1417"/>
        <w:gridCol w:w="1306"/>
        <w:gridCol w:w="1005"/>
      </w:tblGrid>
      <w:tr w:rsidR="007664EC" w:rsidTr="007664EC">
        <w:trPr>
          <w:trHeight w:val="232"/>
        </w:trPr>
        <w:tc>
          <w:tcPr>
            <w:tcW w:w="236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664EC" w:rsidRDefault="007664EC">
            <w:pPr>
              <w:spacing w:after="200" w:line="276" w:lineRule="auto"/>
              <w:jc w:val="center"/>
              <w:rPr>
                <w:rFonts w:eastAsiaTheme="minorHAnsi" w:cs="Arial"/>
                <w:b/>
                <w:bCs/>
                <w:color w:val="000000"/>
                <w:sz w:val="20"/>
                <w:lang w:eastAsia="en-GB"/>
              </w:rPr>
            </w:pPr>
            <w:r>
              <w:rPr>
                <w:rFonts w:eastAsia="Calibri" w:cs="Arial"/>
                <w:b/>
                <w:bCs/>
                <w:color w:val="000000"/>
                <w:sz w:val="20"/>
                <w:lang w:eastAsia="en-GB"/>
              </w:rPr>
              <w:t>Adults with an opiate dependency</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tcPr>
          <w:p w:rsidR="007664EC" w:rsidRDefault="007664EC">
            <w:pPr>
              <w:spacing w:after="200" w:line="276" w:lineRule="auto"/>
              <w:jc w:val="center"/>
              <w:rPr>
                <w:rFonts w:eastAsia="Calibri" w:cs="Arial"/>
                <w:b/>
                <w:bCs/>
                <w:color w:val="000000"/>
                <w:sz w:val="20"/>
                <w:lang w:eastAsia="en-GB"/>
              </w:rPr>
            </w:pPr>
          </w:p>
          <w:p w:rsidR="007664EC" w:rsidRDefault="007664EC">
            <w:pPr>
              <w:spacing w:after="200" w:line="276" w:lineRule="auto"/>
              <w:jc w:val="center"/>
              <w:rPr>
                <w:rFonts w:eastAsiaTheme="minorHAnsi" w:cs="Arial"/>
                <w:b/>
                <w:bCs/>
                <w:color w:val="000000"/>
                <w:sz w:val="20"/>
                <w:lang w:eastAsia="en-GB"/>
              </w:rPr>
            </w:pPr>
            <w:r>
              <w:rPr>
                <w:rFonts w:eastAsia="Calibri" w:cs="Arial"/>
                <w:b/>
                <w:bCs/>
                <w:color w:val="000000"/>
                <w:sz w:val="20"/>
                <w:lang w:eastAsia="en-GB"/>
              </w:rPr>
              <w:t>Harrow</w:t>
            </w:r>
          </w:p>
        </w:tc>
        <w:tc>
          <w:tcPr>
            <w:tcW w:w="13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7664EC" w:rsidRDefault="007664EC">
            <w:pPr>
              <w:spacing w:after="200" w:line="276" w:lineRule="auto"/>
              <w:jc w:val="center"/>
              <w:rPr>
                <w:rFonts w:eastAsiaTheme="minorHAnsi" w:cs="Arial"/>
                <w:b/>
                <w:bCs/>
                <w:sz w:val="20"/>
                <w:lang w:eastAsia="en-GB"/>
              </w:rPr>
            </w:pPr>
            <w:r>
              <w:rPr>
                <w:rFonts w:eastAsia="Calibri" w:cs="Arial"/>
                <w:b/>
                <w:bCs/>
                <w:sz w:val="20"/>
                <w:lang w:eastAsia="en-GB"/>
              </w:rPr>
              <w:t>Benchmark</w:t>
            </w:r>
          </w:p>
        </w:tc>
        <w:tc>
          <w:tcPr>
            <w:tcW w:w="100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7664EC" w:rsidRDefault="007664EC">
            <w:pPr>
              <w:spacing w:after="200" w:line="276" w:lineRule="auto"/>
              <w:jc w:val="center"/>
              <w:rPr>
                <w:rFonts w:eastAsiaTheme="minorHAnsi" w:cs="Arial"/>
                <w:b/>
                <w:bCs/>
                <w:color w:val="000000"/>
                <w:sz w:val="20"/>
                <w:lang w:eastAsia="en-GB"/>
              </w:rPr>
            </w:pPr>
            <w:r>
              <w:rPr>
                <w:rFonts w:eastAsia="Calibri" w:cs="Arial"/>
                <w:b/>
                <w:bCs/>
                <w:color w:val="000000"/>
                <w:sz w:val="20"/>
                <w:lang w:eastAsia="en-GB"/>
              </w:rPr>
              <w:t>National</w:t>
            </w:r>
          </w:p>
        </w:tc>
      </w:tr>
      <w:tr w:rsidR="007664EC" w:rsidTr="007664EC">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4EC" w:rsidRDefault="007664EC">
            <w:pPr>
              <w:rPr>
                <w:rFonts w:eastAsiaTheme="minorHAnsi" w:cs="Arial"/>
                <w:b/>
                <w:bCs/>
                <w:color w:val="000000"/>
                <w:sz w:val="20"/>
                <w:lang w:eastAsia="en-GB"/>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664EC" w:rsidRDefault="007664EC">
            <w:pPr>
              <w:spacing w:after="200" w:line="276" w:lineRule="auto"/>
              <w:jc w:val="center"/>
              <w:rPr>
                <w:rFonts w:eastAsiaTheme="minorHAnsi" w:cs="Arial"/>
                <w:iCs/>
                <w:color w:val="000000"/>
                <w:sz w:val="20"/>
                <w:lang w:eastAsia="en-GB"/>
              </w:rPr>
            </w:pPr>
            <w:r>
              <w:rPr>
                <w:rFonts w:eastAsia="Calibri" w:cs="Arial"/>
                <w:iCs/>
                <w:color w:val="000000"/>
                <w:sz w:val="20"/>
                <w:lang w:eastAsia="en-GB"/>
              </w:rPr>
              <w:t>Prevalence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664EC" w:rsidRDefault="007664EC">
            <w:pPr>
              <w:spacing w:after="200" w:line="276" w:lineRule="auto"/>
              <w:jc w:val="center"/>
              <w:rPr>
                <w:rFonts w:eastAsiaTheme="minorHAnsi" w:cs="Arial"/>
                <w:iCs/>
                <w:color w:val="000000"/>
                <w:sz w:val="20"/>
                <w:lang w:eastAsia="en-GB"/>
              </w:rPr>
            </w:pPr>
            <w:r>
              <w:rPr>
                <w:rFonts w:eastAsia="Calibri" w:cs="Arial"/>
                <w:iCs/>
                <w:color w:val="000000"/>
                <w:sz w:val="20"/>
                <w:lang w:eastAsia="en-GB"/>
              </w:rPr>
              <w:t>Treatment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664EC" w:rsidRDefault="007664EC">
            <w:pPr>
              <w:spacing w:after="200" w:line="276" w:lineRule="auto"/>
              <w:jc w:val="center"/>
              <w:rPr>
                <w:rFonts w:eastAsiaTheme="minorHAnsi" w:cs="Arial"/>
                <w:iCs/>
                <w:color w:val="FF0000"/>
                <w:sz w:val="20"/>
                <w:lang w:eastAsia="en-GB"/>
              </w:rPr>
            </w:pPr>
            <w:r>
              <w:rPr>
                <w:rFonts w:eastAsia="Calibri" w:cs="Arial"/>
                <w:iCs/>
                <w:color w:val="FF0000"/>
                <w:sz w:val="20"/>
                <w:lang w:eastAsia="en-GB"/>
              </w:rPr>
              <w:t>% met need</w:t>
            </w:r>
          </w:p>
        </w:tc>
        <w:tc>
          <w:tcPr>
            <w:tcW w:w="130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664EC" w:rsidRDefault="007664EC">
            <w:pPr>
              <w:spacing w:after="200" w:line="276" w:lineRule="auto"/>
              <w:jc w:val="center"/>
              <w:rPr>
                <w:rFonts w:eastAsiaTheme="minorHAnsi" w:cs="Arial"/>
                <w:iCs/>
                <w:sz w:val="20"/>
                <w:lang w:eastAsia="en-GB"/>
              </w:rPr>
            </w:pPr>
            <w:r>
              <w:rPr>
                <w:rFonts w:eastAsia="Calibri" w:cs="Arial"/>
                <w:iCs/>
                <w:sz w:val="20"/>
                <w:lang w:eastAsia="en-GB"/>
              </w:rPr>
              <w:t>%</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664EC" w:rsidRDefault="007664EC">
            <w:pPr>
              <w:spacing w:after="200" w:line="276" w:lineRule="auto"/>
              <w:jc w:val="center"/>
              <w:rPr>
                <w:rFonts w:eastAsiaTheme="minorHAnsi" w:cs="Arial"/>
                <w:iCs/>
                <w:color w:val="000000"/>
                <w:sz w:val="20"/>
                <w:lang w:eastAsia="en-GB"/>
              </w:rPr>
            </w:pPr>
            <w:r>
              <w:rPr>
                <w:rFonts w:eastAsia="Calibri" w:cs="Arial"/>
                <w:iCs/>
                <w:color w:val="000000"/>
                <w:sz w:val="20"/>
                <w:lang w:eastAsia="en-GB"/>
              </w:rPr>
              <w:t>%</w:t>
            </w:r>
          </w:p>
        </w:tc>
      </w:tr>
      <w:tr w:rsidR="007664EC" w:rsidTr="007664EC">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4EC" w:rsidRDefault="007664EC">
            <w:pPr>
              <w:rPr>
                <w:rFonts w:eastAsiaTheme="minorHAnsi" w:cs="Arial"/>
                <w:b/>
                <w:bCs/>
                <w:color w:val="000000"/>
                <w:sz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EC" w:rsidRDefault="007664EC">
            <w:pPr>
              <w:rPr>
                <w:rFonts w:eastAsiaTheme="minorHAnsi" w:cs="Arial"/>
                <w:iCs/>
                <w:color w:val="000000"/>
                <w:sz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EC" w:rsidRDefault="007664EC">
            <w:pPr>
              <w:rPr>
                <w:rFonts w:eastAsiaTheme="minorHAnsi" w:cs="Arial"/>
                <w:iCs/>
                <w:color w:val="000000"/>
                <w:sz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EC" w:rsidRDefault="007664EC">
            <w:pPr>
              <w:rPr>
                <w:rFonts w:eastAsiaTheme="minorHAnsi" w:cs="Arial"/>
                <w:iCs/>
                <w:color w:val="FF0000"/>
                <w:sz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EC" w:rsidRDefault="007664EC">
            <w:pPr>
              <w:rPr>
                <w:rFonts w:eastAsiaTheme="minorHAnsi" w:cs="Arial"/>
                <w:iCs/>
                <w:sz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EC" w:rsidRDefault="007664EC">
            <w:pPr>
              <w:rPr>
                <w:rFonts w:eastAsiaTheme="minorHAnsi" w:cs="Arial"/>
                <w:iCs/>
                <w:color w:val="000000"/>
                <w:sz w:val="20"/>
                <w:lang w:eastAsia="en-GB"/>
              </w:rPr>
            </w:pPr>
          </w:p>
        </w:tc>
      </w:tr>
      <w:tr w:rsidR="007664EC" w:rsidTr="007664EC">
        <w:trPr>
          <w:trHeight w:val="271"/>
        </w:trPr>
        <w:tc>
          <w:tcPr>
            <w:tcW w:w="23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664EC" w:rsidRDefault="007664EC">
            <w:pPr>
              <w:spacing w:after="200" w:line="276" w:lineRule="auto"/>
              <w:rPr>
                <w:rFonts w:eastAsiaTheme="minorHAnsi" w:cs="Arial"/>
                <w:color w:val="000000"/>
                <w:sz w:val="20"/>
                <w:lang w:eastAsia="en-GB"/>
              </w:rPr>
            </w:pPr>
            <w:r>
              <w:rPr>
                <w:rFonts w:eastAsia="Calibri" w:cs="Arial"/>
                <w:color w:val="000000"/>
                <w:sz w:val="20"/>
                <w:lang w:eastAsia="en-GB"/>
              </w:rPr>
              <w:t>Total number of adults with a dependency who live with children</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7664EC" w:rsidRDefault="007664EC">
            <w:pPr>
              <w:spacing w:after="200" w:line="276" w:lineRule="auto"/>
              <w:jc w:val="center"/>
              <w:rPr>
                <w:rFonts w:eastAsiaTheme="minorHAnsi" w:cs="Arial"/>
                <w:color w:val="000000"/>
                <w:sz w:val="20"/>
                <w:lang w:eastAsia="en-GB"/>
              </w:rPr>
            </w:pPr>
            <w:r>
              <w:rPr>
                <w:rFonts w:eastAsia="Calibri" w:cs="Arial"/>
                <w:color w:val="000000"/>
                <w:sz w:val="20"/>
                <w:lang w:eastAsia="en-GB"/>
              </w:rPr>
              <w:t>308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7664EC" w:rsidRDefault="007664EC">
            <w:pPr>
              <w:spacing w:after="200" w:line="276" w:lineRule="auto"/>
              <w:jc w:val="center"/>
              <w:rPr>
                <w:rFonts w:eastAsiaTheme="minorHAnsi" w:cs="Arial"/>
                <w:color w:val="000000"/>
                <w:sz w:val="20"/>
                <w:lang w:eastAsia="en-GB"/>
              </w:rPr>
            </w:pPr>
            <w:r>
              <w:rPr>
                <w:rFonts w:eastAsia="Calibri" w:cs="Arial"/>
                <w:color w:val="000000"/>
                <w:sz w:val="20"/>
                <w:lang w:eastAsia="en-GB"/>
              </w:rPr>
              <w:t>50</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664EC" w:rsidRDefault="007664EC">
            <w:pPr>
              <w:spacing w:after="200" w:line="276" w:lineRule="auto"/>
              <w:jc w:val="center"/>
              <w:rPr>
                <w:rFonts w:eastAsiaTheme="minorHAnsi" w:cs="Arial"/>
                <w:color w:val="FF0000"/>
                <w:sz w:val="20"/>
                <w:lang w:eastAsia="en-GB"/>
              </w:rPr>
            </w:pPr>
            <w:r>
              <w:rPr>
                <w:rFonts w:eastAsia="Calibri" w:cs="Arial"/>
                <w:color w:val="FF0000"/>
                <w:sz w:val="20"/>
                <w:lang w:eastAsia="en-GB"/>
              </w:rPr>
              <w:t>16%</w:t>
            </w:r>
          </w:p>
        </w:tc>
        <w:tc>
          <w:tcPr>
            <w:tcW w:w="13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7664EC" w:rsidRDefault="007664EC">
            <w:pPr>
              <w:spacing w:after="200" w:line="276" w:lineRule="auto"/>
              <w:jc w:val="center"/>
              <w:rPr>
                <w:rFonts w:eastAsiaTheme="minorHAnsi" w:cs="Arial"/>
                <w:color w:val="000000"/>
                <w:sz w:val="20"/>
                <w:lang w:eastAsia="en-GB"/>
              </w:rPr>
            </w:pPr>
            <w:r>
              <w:rPr>
                <w:rFonts w:eastAsia="Calibri" w:cs="Arial"/>
                <w:color w:val="000000"/>
                <w:sz w:val="20"/>
                <w:lang w:eastAsia="en-GB"/>
              </w:rPr>
              <w:t>19%</w:t>
            </w:r>
          </w:p>
        </w:tc>
        <w:tc>
          <w:tcPr>
            <w:tcW w:w="100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7664EC" w:rsidRDefault="007664EC">
            <w:pPr>
              <w:spacing w:after="200" w:line="276" w:lineRule="auto"/>
              <w:jc w:val="center"/>
              <w:rPr>
                <w:rFonts w:eastAsiaTheme="minorHAnsi" w:cs="Arial"/>
                <w:color w:val="000000"/>
                <w:sz w:val="20"/>
                <w:lang w:eastAsia="en-GB"/>
              </w:rPr>
            </w:pPr>
            <w:r>
              <w:rPr>
                <w:rFonts w:eastAsia="Calibri" w:cs="Arial"/>
                <w:color w:val="000000"/>
                <w:sz w:val="20"/>
                <w:lang w:eastAsia="en-GB"/>
              </w:rPr>
              <w:t>52%</w:t>
            </w:r>
          </w:p>
        </w:tc>
      </w:tr>
      <w:tr w:rsidR="007664EC" w:rsidTr="007664EC">
        <w:trPr>
          <w:trHeight w:val="1077"/>
        </w:trPr>
        <w:tc>
          <w:tcPr>
            <w:tcW w:w="23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664EC" w:rsidRDefault="007664EC">
            <w:pPr>
              <w:spacing w:after="200" w:line="276" w:lineRule="auto"/>
              <w:rPr>
                <w:rFonts w:eastAsiaTheme="minorHAnsi" w:cs="Arial"/>
                <w:color w:val="000000"/>
                <w:sz w:val="20"/>
                <w:lang w:eastAsia="en-GB"/>
              </w:rPr>
            </w:pPr>
            <w:r>
              <w:rPr>
                <w:rFonts w:eastAsia="Calibri" w:cs="Arial"/>
                <w:color w:val="000000"/>
                <w:sz w:val="20"/>
                <w:lang w:eastAsia="en-GB"/>
              </w:rPr>
              <w:t>Total number of children who live with an adult with a dependency</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7664EC" w:rsidRDefault="007664EC">
            <w:pPr>
              <w:spacing w:after="200" w:line="276" w:lineRule="auto"/>
              <w:jc w:val="center"/>
              <w:rPr>
                <w:rFonts w:eastAsiaTheme="minorHAnsi" w:cs="Arial"/>
                <w:color w:val="000000"/>
                <w:sz w:val="20"/>
                <w:lang w:eastAsia="en-GB"/>
              </w:rPr>
            </w:pPr>
            <w:r>
              <w:rPr>
                <w:rFonts w:eastAsia="Calibri" w:cs="Arial"/>
                <w:color w:val="000000"/>
                <w:sz w:val="20"/>
                <w:lang w:eastAsia="en-GB"/>
              </w:rPr>
              <w:t>559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7664EC" w:rsidRDefault="007664EC">
            <w:pPr>
              <w:spacing w:after="200" w:line="276" w:lineRule="auto"/>
              <w:jc w:val="center"/>
              <w:rPr>
                <w:rFonts w:eastAsiaTheme="minorHAnsi" w:cs="Arial"/>
                <w:color w:val="000000"/>
                <w:sz w:val="20"/>
                <w:lang w:eastAsia="en-GB"/>
              </w:rPr>
            </w:pPr>
            <w:r>
              <w:rPr>
                <w:rFonts w:eastAsia="Calibri" w:cs="Arial"/>
                <w:color w:val="000000"/>
                <w:sz w:val="20"/>
                <w:lang w:eastAsia="en-GB"/>
              </w:rPr>
              <w:t>86</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664EC" w:rsidRDefault="007664EC">
            <w:pPr>
              <w:spacing w:after="200" w:line="276" w:lineRule="auto"/>
              <w:jc w:val="center"/>
              <w:rPr>
                <w:rFonts w:eastAsiaTheme="minorHAnsi" w:cs="Arial"/>
                <w:color w:val="FF0000"/>
                <w:sz w:val="20"/>
                <w:lang w:eastAsia="en-GB"/>
              </w:rPr>
            </w:pPr>
            <w:r>
              <w:rPr>
                <w:rFonts w:eastAsia="Calibri" w:cs="Arial"/>
                <w:color w:val="FF0000"/>
                <w:sz w:val="20"/>
                <w:lang w:eastAsia="en-GB"/>
              </w:rPr>
              <w:t>15%</w:t>
            </w:r>
          </w:p>
        </w:tc>
        <w:tc>
          <w:tcPr>
            <w:tcW w:w="13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7664EC" w:rsidRDefault="007664EC">
            <w:pPr>
              <w:spacing w:after="200" w:line="276" w:lineRule="auto"/>
              <w:jc w:val="center"/>
              <w:rPr>
                <w:rFonts w:eastAsiaTheme="minorHAnsi" w:cs="Arial"/>
                <w:color w:val="000000"/>
                <w:sz w:val="20"/>
                <w:lang w:eastAsia="en-GB"/>
              </w:rPr>
            </w:pPr>
            <w:r>
              <w:rPr>
                <w:rFonts w:eastAsia="Calibri" w:cs="Arial"/>
                <w:color w:val="000000"/>
                <w:sz w:val="20"/>
                <w:lang w:eastAsia="en-GB"/>
              </w:rPr>
              <w:t>19%</w:t>
            </w:r>
          </w:p>
        </w:tc>
        <w:tc>
          <w:tcPr>
            <w:tcW w:w="100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7664EC" w:rsidRDefault="007664EC">
            <w:pPr>
              <w:spacing w:after="200" w:line="276" w:lineRule="auto"/>
              <w:jc w:val="center"/>
              <w:rPr>
                <w:rFonts w:eastAsiaTheme="minorHAnsi" w:cs="Arial"/>
                <w:color w:val="000000"/>
                <w:sz w:val="20"/>
                <w:lang w:eastAsia="en-GB"/>
              </w:rPr>
            </w:pPr>
            <w:r>
              <w:rPr>
                <w:rFonts w:eastAsia="Calibri" w:cs="Arial"/>
                <w:color w:val="000000"/>
                <w:sz w:val="20"/>
                <w:lang w:eastAsia="en-GB"/>
              </w:rPr>
              <w:t>53%</w:t>
            </w:r>
          </w:p>
        </w:tc>
      </w:tr>
    </w:tbl>
    <w:p w:rsidR="007664EC" w:rsidRDefault="007664EC" w:rsidP="007664EC">
      <w:pPr>
        <w:spacing w:after="200" w:line="276" w:lineRule="auto"/>
        <w:rPr>
          <w:rFonts w:ascii="Calibri" w:eastAsiaTheme="minorHAnsi" w:hAnsi="Calibri"/>
          <w:sz w:val="22"/>
          <w:szCs w:val="22"/>
        </w:rPr>
      </w:pPr>
    </w:p>
    <w:p w:rsidR="007664EC" w:rsidRDefault="007664EC" w:rsidP="007664EC">
      <w:pPr>
        <w:rPr>
          <w:rFonts w:cs="Arial"/>
          <w:b/>
          <w:sz w:val="22"/>
          <w:szCs w:val="22"/>
          <w:lang w:eastAsia="en-GB"/>
        </w:rPr>
      </w:pPr>
      <w:r>
        <w:rPr>
          <w:rFonts w:cs="Arial"/>
          <w:b/>
          <w:sz w:val="22"/>
          <w:szCs w:val="22"/>
          <w:lang w:eastAsia="en-GB"/>
        </w:rPr>
        <w:t>Annual met treatment need estimates, alcohol dependency 2014/15 - 2016/17</w:t>
      </w:r>
    </w:p>
    <w:tbl>
      <w:tblPr>
        <w:tblW w:w="8560" w:type="dxa"/>
        <w:tblInd w:w="108" w:type="dxa"/>
        <w:tblLook w:val="04A0" w:firstRow="1" w:lastRow="0" w:firstColumn="1" w:lastColumn="0" w:noHBand="0" w:noVBand="1"/>
      </w:tblPr>
      <w:tblGrid>
        <w:gridCol w:w="2427"/>
        <w:gridCol w:w="1217"/>
        <w:gridCol w:w="1173"/>
        <w:gridCol w:w="1407"/>
        <w:gridCol w:w="1306"/>
        <w:gridCol w:w="1030"/>
      </w:tblGrid>
      <w:tr w:rsidR="007664EC" w:rsidTr="007664EC">
        <w:trPr>
          <w:trHeight w:val="308"/>
        </w:trPr>
        <w:tc>
          <w:tcPr>
            <w:tcW w:w="242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664EC" w:rsidRDefault="007664EC">
            <w:pPr>
              <w:jc w:val="center"/>
              <w:rPr>
                <w:rFonts w:cs="Arial"/>
                <w:b/>
                <w:bCs/>
                <w:color w:val="000000"/>
                <w:sz w:val="20"/>
                <w:lang w:eastAsia="en-GB"/>
              </w:rPr>
            </w:pPr>
            <w:r>
              <w:rPr>
                <w:rFonts w:cs="Arial"/>
                <w:b/>
                <w:bCs/>
                <w:color w:val="000000"/>
                <w:sz w:val="20"/>
                <w:lang w:eastAsia="en-GB"/>
              </w:rPr>
              <w:t>Adults with an alcohol dependency</w:t>
            </w:r>
          </w:p>
        </w:tc>
        <w:tc>
          <w:tcPr>
            <w:tcW w:w="3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64EC" w:rsidRDefault="007664EC">
            <w:pPr>
              <w:jc w:val="center"/>
              <w:rPr>
                <w:rFonts w:cs="Arial"/>
                <w:b/>
                <w:bCs/>
                <w:color w:val="000000"/>
                <w:sz w:val="20"/>
                <w:lang w:eastAsia="en-GB"/>
              </w:rPr>
            </w:pPr>
          </w:p>
          <w:p w:rsidR="007664EC" w:rsidRDefault="007664EC">
            <w:pPr>
              <w:jc w:val="center"/>
              <w:rPr>
                <w:rFonts w:cs="Arial"/>
                <w:b/>
                <w:bCs/>
                <w:color w:val="000000"/>
                <w:sz w:val="20"/>
                <w:lang w:eastAsia="en-GB"/>
              </w:rPr>
            </w:pPr>
            <w:r>
              <w:rPr>
                <w:rFonts w:cs="Arial"/>
                <w:b/>
                <w:bCs/>
                <w:color w:val="000000"/>
                <w:sz w:val="20"/>
                <w:lang w:eastAsia="en-GB"/>
              </w:rPr>
              <w:t>Harrow</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4EC" w:rsidRDefault="007664EC">
            <w:pPr>
              <w:jc w:val="center"/>
              <w:rPr>
                <w:rFonts w:cs="Arial"/>
                <w:b/>
                <w:bCs/>
                <w:sz w:val="20"/>
                <w:lang w:eastAsia="en-GB"/>
              </w:rPr>
            </w:pPr>
            <w:r>
              <w:rPr>
                <w:rFonts w:cs="Arial"/>
                <w:b/>
                <w:bCs/>
                <w:sz w:val="20"/>
                <w:lang w:eastAsia="en-GB"/>
              </w:rPr>
              <w:t>Benchmark</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4EC" w:rsidRDefault="007664EC">
            <w:pPr>
              <w:jc w:val="center"/>
              <w:rPr>
                <w:rFonts w:cs="Arial"/>
                <w:b/>
                <w:bCs/>
                <w:color w:val="000000"/>
                <w:sz w:val="20"/>
                <w:lang w:eastAsia="en-GB"/>
              </w:rPr>
            </w:pPr>
            <w:r>
              <w:rPr>
                <w:rFonts w:cs="Arial"/>
                <w:b/>
                <w:bCs/>
                <w:color w:val="000000"/>
                <w:sz w:val="20"/>
                <w:lang w:eastAsia="en-GB"/>
              </w:rPr>
              <w:t>National</w:t>
            </w:r>
          </w:p>
        </w:tc>
      </w:tr>
      <w:tr w:rsidR="007664EC" w:rsidTr="007664EC">
        <w:trPr>
          <w:trHeight w:val="5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4EC" w:rsidRDefault="007664EC">
            <w:pPr>
              <w:rPr>
                <w:rFonts w:cs="Arial"/>
                <w:b/>
                <w:bCs/>
                <w:color w:val="000000"/>
                <w:sz w:val="20"/>
                <w:lang w:eastAsia="en-GB"/>
              </w:rPr>
            </w:pPr>
          </w:p>
        </w:tc>
        <w:tc>
          <w:tcPr>
            <w:tcW w:w="239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7664EC" w:rsidRDefault="007664EC">
            <w:pPr>
              <w:jc w:val="center"/>
              <w:rPr>
                <w:rFonts w:cs="Arial"/>
                <w:iCs/>
                <w:color w:val="000000"/>
                <w:sz w:val="20"/>
                <w:lang w:eastAsia="en-GB"/>
              </w:rPr>
            </w:pPr>
            <w:r>
              <w:rPr>
                <w:rFonts w:cs="Arial"/>
                <w:iCs/>
                <w:color w:val="000000"/>
                <w:sz w:val="20"/>
                <w:lang w:eastAsia="en-GB"/>
              </w:rPr>
              <w:t>Prevalence</w:t>
            </w:r>
          </w:p>
          <w:p w:rsidR="007664EC" w:rsidRDefault="007664EC">
            <w:pPr>
              <w:jc w:val="center"/>
              <w:rPr>
                <w:rFonts w:cs="Arial"/>
                <w:iCs/>
                <w:color w:val="000000"/>
                <w:sz w:val="20"/>
                <w:lang w:eastAsia="en-GB"/>
              </w:rPr>
            </w:pPr>
            <w:r>
              <w:rPr>
                <w:rFonts w:cs="Arial"/>
                <w:iCs/>
                <w:color w:val="000000"/>
                <w:sz w:val="20"/>
                <w:lang w:eastAsia="en-GB"/>
              </w:rPr>
              <w:t>Treatment</w:t>
            </w:r>
          </w:p>
        </w:tc>
        <w:tc>
          <w:tcPr>
            <w:tcW w:w="14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4EC" w:rsidRDefault="007664EC">
            <w:pPr>
              <w:jc w:val="center"/>
              <w:rPr>
                <w:rFonts w:cs="Arial"/>
                <w:iCs/>
                <w:color w:val="FF0000"/>
                <w:sz w:val="20"/>
                <w:lang w:eastAsia="en-GB"/>
              </w:rPr>
            </w:pPr>
            <w:r>
              <w:rPr>
                <w:rFonts w:cs="Arial"/>
                <w:iCs/>
                <w:color w:val="FF0000"/>
                <w:sz w:val="20"/>
                <w:lang w:eastAsia="en-GB"/>
              </w:rPr>
              <w:t>% met need</w:t>
            </w:r>
          </w:p>
        </w:tc>
        <w:tc>
          <w:tcPr>
            <w:tcW w:w="1306" w:type="dxa"/>
            <w:tcBorders>
              <w:top w:val="single" w:sz="4" w:space="0" w:color="auto"/>
              <w:left w:val="single" w:sz="4" w:space="0" w:color="auto"/>
              <w:bottom w:val="nil"/>
              <w:right w:val="single" w:sz="4" w:space="0" w:color="auto"/>
            </w:tcBorders>
            <w:shd w:val="clear" w:color="auto" w:fill="FFFFFF"/>
            <w:noWrap/>
            <w:vAlign w:val="center"/>
            <w:hideMark/>
          </w:tcPr>
          <w:p w:rsidR="007664EC" w:rsidRDefault="007664EC">
            <w:pPr>
              <w:jc w:val="center"/>
              <w:rPr>
                <w:rFonts w:cs="Arial"/>
                <w:iCs/>
                <w:sz w:val="20"/>
                <w:lang w:eastAsia="en-GB"/>
              </w:rPr>
            </w:pPr>
            <w:r>
              <w:rPr>
                <w:rFonts w:cs="Arial"/>
                <w:iCs/>
                <w:sz w:val="20"/>
                <w:lang w:eastAsia="en-GB"/>
              </w:rPr>
              <w:t>%</w:t>
            </w:r>
          </w:p>
          <w:p w:rsidR="007664EC" w:rsidRDefault="007664EC">
            <w:pPr>
              <w:rPr>
                <w:rFonts w:cs="Arial"/>
                <w:iCs/>
                <w:sz w:val="20"/>
                <w:lang w:eastAsia="en-GB"/>
              </w:rPr>
            </w:pPr>
            <w:r>
              <w:rPr>
                <w:rFonts w:cs="Arial"/>
                <w:iCs/>
                <w:sz w:val="20"/>
                <w:lang w:eastAsia="en-GB"/>
              </w:rPr>
              <w:t> </w:t>
            </w:r>
          </w:p>
        </w:tc>
        <w:tc>
          <w:tcPr>
            <w:tcW w:w="1030" w:type="dxa"/>
            <w:tcBorders>
              <w:top w:val="single" w:sz="4" w:space="0" w:color="auto"/>
              <w:left w:val="single" w:sz="4" w:space="0" w:color="auto"/>
              <w:bottom w:val="nil"/>
              <w:right w:val="single" w:sz="4" w:space="0" w:color="auto"/>
            </w:tcBorders>
            <w:shd w:val="clear" w:color="auto" w:fill="FFFFFF"/>
            <w:noWrap/>
            <w:vAlign w:val="center"/>
            <w:hideMark/>
          </w:tcPr>
          <w:p w:rsidR="007664EC" w:rsidRDefault="007664EC">
            <w:pPr>
              <w:jc w:val="center"/>
              <w:rPr>
                <w:rFonts w:cs="Arial"/>
                <w:iCs/>
                <w:color w:val="000000"/>
                <w:sz w:val="20"/>
                <w:lang w:eastAsia="en-GB"/>
              </w:rPr>
            </w:pPr>
            <w:r>
              <w:rPr>
                <w:rFonts w:cs="Arial"/>
                <w:iCs/>
                <w:color w:val="000000"/>
                <w:sz w:val="20"/>
                <w:lang w:eastAsia="en-GB"/>
              </w:rPr>
              <w:t>%</w:t>
            </w:r>
          </w:p>
          <w:p w:rsidR="007664EC" w:rsidRDefault="007664EC">
            <w:pPr>
              <w:rPr>
                <w:rFonts w:cs="Arial"/>
                <w:iCs/>
                <w:color w:val="000000"/>
                <w:sz w:val="20"/>
                <w:lang w:eastAsia="en-GB"/>
              </w:rPr>
            </w:pPr>
            <w:r>
              <w:rPr>
                <w:rFonts w:cs="Arial"/>
                <w:iCs/>
                <w:color w:val="000000"/>
                <w:sz w:val="20"/>
                <w:lang w:eastAsia="en-GB"/>
              </w:rPr>
              <w:t> </w:t>
            </w:r>
          </w:p>
        </w:tc>
      </w:tr>
      <w:tr w:rsidR="007664EC" w:rsidTr="007664EC">
        <w:trPr>
          <w:trHeight w:val="388"/>
        </w:trPr>
        <w:tc>
          <w:tcPr>
            <w:tcW w:w="2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4EC" w:rsidRDefault="007664EC">
            <w:pPr>
              <w:rPr>
                <w:rFonts w:cs="Arial"/>
                <w:sz w:val="20"/>
                <w:lang w:eastAsia="en-GB"/>
              </w:rPr>
            </w:pPr>
            <w:r>
              <w:rPr>
                <w:rFonts w:cs="Arial"/>
                <w:sz w:val="20"/>
                <w:lang w:eastAsia="en-GB"/>
              </w:rPr>
              <w:t>Total number of adults with a dependency who live with children</w:t>
            </w:r>
          </w:p>
        </w:tc>
        <w:tc>
          <w:tcPr>
            <w:tcW w:w="12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64EC" w:rsidRDefault="007664EC">
            <w:pPr>
              <w:jc w:val="center"/>
              <w:rPr>
                <w:rFonts w:cs="Arial"/>
                <w:sz w:val="20"/>
                <w:lang w:eastAsia="en-GB"/>
              </w:rPr>
            </w:pPr>
            <w:r>
              <w:rPr>
                <w:rFonts w:cs="Arial"/>
                <w:sz w:val="20"/>
                <w:lang w:eastAsia="en-GB"/>
              </w:rPr>
              <w:t>316</w:t>
            </w:r>
          </w:p>
        </w:tc>
        <w:tc>
          <w:tcPr>
            <w:tcW w:w="117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64EC" w:rsidRDefault="007664EC">
            <w:pPr>
              <w:jc w:val="center"/>
              <w:rPr>
                <w:rFonts w:cs="Arial"/>
                <w:sz w:val="20"/>
                <w:lang w:eastAsia="en-GB"/>
              </w:rPr>
            </w:pPr>
            <w:r>
              <w:rPr>
                <w:rFonts w:cs="Arial"/>
                <w:sz w:val="20"/>
                <w:lang w:eastAsia="en-GB"/>
              </w:rPr>
              <w:t>104</w:t>
            </w:r>
          </w:p>
        </w:tc>
        <w:tc>
          <w:tcPr>
            <w:tcW w:w="14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64EC" w:rsidRDefault="007664EC">
            <w:pPr>
              <w:jc w:val="center"/>
              <w:rPr>
                <w:rFonts w:cs="Arial"/>
                <w:color w:val="FF0000"/>
                <w:sz w:val="20"/>
                <w:lang w:eastAsia="en-GB"/>
              </w:rPr>
            </w:pPr>
            <w:r>
              <w:rPr>
                <w:rFonts w:cs="Arial"/>
                <w:color w:val="FF0000"/>
                <w:sz w:val="20"/>
                <w:lang w:eastAsia="en-GB"/>
              </w:rPr>
              <w:t>33%</w:t>
            </w:r>
          </w:p>
        </w:tc>
        <w:tc>
          <w:tcPr>
            <w:tcW w:w="13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64EC" w:rsidRDefault="007664EC">
            <w:pPr>
              <w:jc w:val="center"/>
              <w:rPr>
                <w:rFonts w:cs="Arial"/>
                <w:sz w:val="20"/>
                <w:lang w:eastAsia="en-GB"/>
              </w:rPr>
            </w:pPr>
            <w:r>
              <w:rPr>
                <w:rFonts w:cs="Arial"/>
                <w:sz w:val="20"/>
                <w:lang w:eastAsia="en-GB"/>
              </w:rPr>
              <w:t>24%</w:t>
            </w:r>
          </w:p>
        </w:tc>
        <w:tc>
          <w:tcPr>
            <w:tcW w:w="10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64EC" w:rsidRDefault="007664EC">
            <w:pPr>
              <w:jc w:val="center"/>
              <w:rPr>
                <w:rFonts w:cs="Arial"/>
                <w:sz w:val="20"/>
                <w:lang w:eastAsia="en-GB"/>
              </w:rPr>
            </w:pPr>
            <w:r>
              <w:rPr>
                <w:rFonts w:cs="Arial"/>
                <w:sz w:val="20"/>
                <w:lang w:eastAsia="en-GB"/>
              </w:rPr>
              <w:t>21%</w:t>
            </w:r>
          </w:p>
        </w:tc>
      </w:tr>
      <w:tr w:rsidR="007664EC" w:rsidTr="007664EC">
        <w:trPr>
          <w:trHeight w:val="388"/>
        </w:trPr>
        <w:tc>
          <w:tcPr>
            <w:tcW w:w="2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4EC" w:rsidRDefault="007664EC">
            <w:pPr>
              <w:rPr>
                <w:rFonts w:cs="Arial"/>
                <w:sz w:val="20"/>
                <w:lang w:eastAsia="en-GB"/>
              </w:rPr>
            </w:pPr>
            <w:r>
              <w:rPr>
                <w:rFonts w:cs="Arial"/>
                <w:sz w:val="20"/>
                <w:lang w:eastAsia="en-GB"/>
              </w:rPr>
              <w:t>Total number of children who live with an adult with a dependency</w:t>
            </w:r>
          </w:p>
        </w:tc>
        <w:tc>
          <w:tcPr>
            <w:tcW w:w="12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64EC" w:rsidRDefault="007664EC">
            <w:pPr>
              <w:jc w:val="center"/>
              <w:rPr>
                <w:rFonts w:cs="Arial"/>
                <w:sz w:val="20"/>
                <w:lang w:eastAsia="en-GB"/>
              </w:rPr>
            </w:pPr>
            <w:r>
              <w:rPr>
                <w:rFonts w:cs="Arial"/>
                <w:sz w:val="20"/>
                <w:lang w:eastAsia="en-GB"/>
              </w:rPr>
              <w:t>581</w:t>
            </w:r>
          </w:p>
        </w:tc>
        <w:tc>
          <w:tcPr>
            <w:tcW w:w="117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64EC" w:rsidRDefault="007664EC">
            <w:pPr>
              <w:jc w:val="center"/>
              <w:rPr>
                <w:rFonts w:cs="Arial"/>
                <w:sz w:val="20"/>
                <w:lang w:eastAsia="en-GB"/>
              </w:rPr>
            </w:pPr>
            <w:r>
              <w:rPr>
                <w:rFonts w:cs="Arial"/>
                <w:sz w:val="20"/>
                <w:lang w:eastAsia="en-GB"/>
              </w:rPr>
              <w:t>192</w:t>
            </w:r>
          </w:p>
        </w:tc>
        <w:tc>
          <w:tcPr>
            <w:tcW w:w="14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64EC" w:rsidRDefault="007664EC">
            <w:pPr>
              <w:jc w:val="center"/>
              <w:rPr>
                <w:rFonts w:cs="Arial"/>
                <w:color w:val="FF0000"/>
                <w:sz w:val="20"/>
                <w:lang w:eastAsia="en-GB"/>
              </w:rPr>
            </w:pPr>
            <w:r>
              <w:rPr>
                <w:rFonts w:cs="Arial"/>
                <w:color w:val="FF0000"/>
                <w:sz w:val="20"/>
                <w:lang w:eastAsia="en-GB"/>
              </w:rPr>
              <w:t>33%</w:t>
            </w:r>
          </w:p>
        </w:tc>
        <w:tc>
          <w:tcPr>
            <w:tcW w:w="13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64EC" w:rsidRDefault="007664EC">
            <w:pPr>
              <w:jc w:val="center"/>
              <w:rPr>
                <w:rFonts w:cs="Arial"/>
                <w:sz w:val="20"/>
                <w:lang w:eastAsia="en-GB"/>
              </w:rPr>
            </w:pPr>
            <w:r>
              <w:rPr>
                <w:rFonts w:cs="Arial"/>
                <w:sz w:val="20"/>
                <w:lang w:eastAsia="en-GB"/>
              </w:rPr>
              <w:t>23%</w:t>
            </w:r>
          </w:p>
        </w:tc>
        <w:tc>
          <w:tcPr>
            <w:tcW w:w="10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664EC" w:rsidRDefault="007664EC">
            <w:pPr>
              <w:jc w:val="center"/>
              <w:rPr>
                <w:rFonts w:cs="Arial"/>
                <w:sz w:val="20"/>
                <w:lang w:eastAsia="en-GB"/>
              </w:rPr>
            </w:pPr>
            <w:r>
              <w:rPr>
                <w:rFonts w:cs="Arial"/>
                <w:sz w:val="20"/>
                <w:lang w:eastAsia="en-GB"/>
              </w:rPr>
              <w:t>21%</w:t>
            </w:r>
          </w:p>
        </w:tc>
      </w:tr>
    </w:tbl>
    <w:p w:rsidR="007664EC" w:rsidRDefault="007664EC" w:rsidP="007664EC">
      <w:pPr>
        <w:rPr>
          <w:rFonts w:cs="Arial"/>
          <w:b/>
          <w:bCs/>
          <w:color w:val="808080" w:themeColor="background1" w:themeShade="80"/>
          <w:kern w:val="36"/>
          <w:sz w:val="16"/>
          <w:szCs w:val="16"/>
          <w:lang w:val="en" w:eastAsia="en-GB"/>
        </w:rPr>
      </w:pPr>
      <w:r>
        <w:rPr>
          <w:rFonts w:cs="Arial"/>
          <w:b/>
          <w:bCs/>
          <w:color w:val="808080" w:themeColor="background1" w:themeShade="80"/>
          <w:kern w:val="36"/>
          <w:sz w:val="16"/>
          <w:szCs w:val="16"/>
          <w:lang w:val="en" w:eastAsia="en-GB"/>
        </w:rPr>
        <w:t xml:space="preserve">Parental alcohol and drug use: understanding the problem </w:t>
      </w:r>
    </w:p>
    <w:p w:rsidR="007664EC" w:rsidRDefault="007664EC" w:rsidP="007664EC">
      <w:pPr>
        <w:rPr>
          <w:rFonts w:cs="Arial"/>
          <w:color w:val="808080" w:themeColor="background1" w:themeShade="80"/>
          <w:sz w:val="16"/>
          <w:szCs w:val="16"/>
          <w:lang w:val="en" w:eastAsia="en-GB"/>
        </w:rPr>
      </w:pPr>
      <w:r>
        <w:rPr>
          <w:rFonts w:cs="Arial"/>
          <w:color w:val="808080" w:themeColor="background1" w:themeShade="80"/>
          <w:sz w:val="16"/>
          <w:szCs w:val="16"/>
          <w:lang w:val="en" w:eastAsia="en-GB"/>
        </w:rPr>
        <w:t xml:space="preserve">Guidance for local areas to identify problematic parental substance use to help commission services to reduce and prevent harm to children and families. 22 May 2018 </w:t>
      </w:r>
    </w:p>
    <w:p w:rsidR="007664EC" w:rsidRDefault="007007F0" w:rsidP="007664EC">
      <w:pPr>
        <w:rPr>
          <w:rFonts w:cs="Arial"/>
          <w:color w:val="808080" w:themeColor="background1" w:themeShade="80"/>
          <w:sz w:val="16"/>
          <w:szCs w:val="16"/>
          <w:lang w:eastAsia="en-GB"/>
        </w:rPr>
      </w:pPr>
      <w:hyperlink r:id="rId16" w:history="1">
        <w:r w:rsidR="007664EC">
          <w:rPr>
            <w:rStyle w:val="Hyperlink"/>
            <w:rFonts w:cs="Arial"/>
            <w:color w:val="808080" w:themeColor="background1" w:themeShade="80"/>
            <w:sz w:val="16"/>
            <w:szCs w:val="16"/>
            <w:lang w:eastAsia="en-GB"/>
          </w:rPr>
          <w:t>https://www.gov.uk/government/publications/parental-alcohol-and-drug-use-understanding-the-problem</w:t>
        </w:r>
      </w:hyperlink>
    </w:p>
    <w:p w:rsidR="007664EC" w:rsidRDefault="007664EC" w:rsidP="007664EC">
      <w:pPr>
        <w:rPr>
          <w:rFonts w:cs="Arial"/>
          <w:color w:val="808080" w:themeColor="background1" w:themeShade="80"/>
          <w:sz w:val="16"/>
          <w:szCs w:val="16"/>
          <w:lang w:eastAsia="en-GB"/>
        </w:rPr>
      </w:pPr>
    </w:p>
    <w:p w:rsidR="007664EC" w:rsidRDefault="007664EC" w:rsidP="007664EC">
      <w:pPr>
        <w:pStyle w:val="Default"/>
        <w:jc w:val="both"/>
      </w:pPr>
    </w:p>
    <w:p w:rsidR="007664EC" w:rsidRDefault="007664EC" w:rsidP="007664EC">
      <w:pPr>
        <w:jc w:val="both"/>
        <w:rPr>
          <w:rFonts w:cs="Arial"/>
          <w:lang w:val="en"/>
        </w:rPr>
      </w:pPr>
      <w:r>
        <w:rPr>
          <w:rFonts w:cs="Arial"/>
          <w:lang w:val="en"/>
        </w:rPr>
        <w:t xml:space="preserve">The estimated data shows a significant number of Harrow adults who have an opiate dependency/alcohol dependency and who live with children are not accessing treatment. </w:t>
      </w:r>
    </w:p>
    <w:p w:rsidR="007664EC" w:rsidRDefault="007664EC" w:rsidP="007664EC">
      <w:pPr>
        <w:jc w:val="both"/>
        <w:rPr>
          <w:rFonts w:cs="Arial"/>
          <w:szCs w:val="24"/>
        </w:rPr>
      </w:pPr>
    </w:p>
    <w:p w:rsidR="007664EC" w:rsidRDefault="007664EC" w:rsidP="007664EC">
      <w:pPr>
        <w:tabs>
          <w:tab w:val="center" w:pos="4154"/>
        </w:tabs>
        <w:jc w:val="both"/>
        <w:rPr>
          <w:rFonts w:cs="Arial"/>
          <w:b/>
          <w:sz w:val="16"/>
          <w:szCs w:val="16"/>
        </w:rPr>
      </w:pPr>
      <w:r>
        <w:rPr>
          <w:rFonts w:cs="Arial"/>
          <w:b/>
          <w:szCs w:val="24"/>
        </w:rPr>
        <w:t>Substance Misuse and Crime</w:t>
      </w:r>
      <w:r>
        <w:rPr>
          <w:rFonts w:cs="Arial"/>
          <w:b/>
          <w:sz w:val="16"/>
          <w:szCs w:val="16"/>
        </w:rPr>
        <w:tab/>
      </w:r>
    </w:p>
    <w:p w:rsidR="007664EC" w:rsidRDefault="007664EC" w:rsidP="007664EC">
      <w:pPr>
        <w:jc w:val="both"/>
        <w:rPr>
          <w:color w:val="808080" w:themeColor="background1" w:themeShade="80"/>
          <w:sz w:val="16"/>
          <w:szCs w:val="16"/>
        </w:rPr>
      </w:pPr>
      <w:r>
        <w:rPr>
          <w:color w:val="808080" w:themeColor="background1" w:themeShade="80"/>
          <w:sz w:val="16"/>
          <w:szCs w:val="16"/>
        </w:rPr>
        <w:t xml:space="preserve">Information from PHE Police and Crime Commissioners </w:t>
      </w:r>
      <w:r>
        <w:rPr>
          <w:b/>
          <w:bCs/>
          <w:color w:val="808080" w:themeColor="background1" w:themeShade="80"/>
          <w:sz w:val="16"/>
          <w:szCs w:val="16"/>
        </w:rPr>
        <w:t xml:space="preserve">support pack 2019-20: key drug and alcohol data </w:t>
      </w:r>
      <w:r>
        <w:rPr>
          <w:color w:val="808080" w:themeColor="background1" w:themeShade="80"/>
          <w:sz w:val="16"/>
          <w:szCs w:val="16"/>
        </w:rPr>
        <w:t>publications.</w:t>
      </w:r>
    </w:p>
    <w:p w:rsidR="007664EC" w:rsidRDefault="007664EC" w:rsidP="007664EC">
      <w:pPr>
        <w:jc w:val="both"/>
        <w:rPr>
          <w:rFonts w:cs="Arial"/>
          <w:b/>
          <w:color w:val="808080" w:themeColor="background1" w:themeShade="80"/>
          <w:sz w:val="16"/>
          <w:szCs w:val="16"/>
        </w:rPr>
      </w:pPr>
      <w:r>
        <w:rPr>
          <w:color w:val="808080" w:themeColor="background1" w:themeShade="80"/>
          <w:sz w:val="16"/>
          <w:szCs w:val="16"/>
        </w:rPr>
        <w:t>Gateway number: 2018467 – Released 2019</w:t>
      </w:r>
    </w:p>
    <w:p w:rsidR="007664EC" w:rsidRDefault="007664EC" w:rsidP="007664EC">
      <w:pPr>
        <w:jc w:val="both"/>
        <w:rPr>
          <w:rFonts w:cs="Arial"/>
          <w:b/>
          <w:szCs w:val="24"/>
        </w:rPr>
      </w:pPr>
      <w:r>
        <w:rPr>
          <w:szCs w:val="24"/>
        </w:rPr>
        <w:t>Drugs and alcohol are identified as two of the key drivers of crime and disorder in the Home Office Modern Crime Prevention Strategy (2016).</w:t>
      </w:r>
    </w:p>
    <w:p w:rsidR="007664EC" w:rsidRDefault="007664EC" w:rsidP="007664EC">
      <w:pPr>
        <w:jc w:val="both"/>
        <w:rPr>
          <w:rFonts w:cs="Arial"/>
          <w:b/>
          <w:szCs w:val="24"/>
        </w:rPr>
      </w:pPr>
    </w:p>
    <w:p w:rsidR="007664EC" w:rsidRDefault="007664EC" w:rsidP="007664EC">
      <w:pPr>
        <w:jc w:val="both"/>
        <w:rPr>
          <w:szCs w:val="24"/>
        </w:rPr>
      </w:pPr>
      <w:r>
        <w:rPr>
          <w:szCs w:val="24"/>
        </w:rPr>
        <w:t xml:space="preserve">Evidence shows that being in treatment itself reduces levels of offending, so the Modern Crime Prevention Strategy focuses on the need for treatment, prevention and enforcement to mitigate the impact of drug-related crime. Evidence-based drug and alcohol treatment also help in terms of health improvements, reduced drug and/or alcohol related deaths, lower levels of blood-borne infection and wider social harm. </w:t>
      </w:r>
    </w:p>
    <w:p w:rsidR="007664EC" w:rsidRDefault="007664EC" w:rsidP="007664EC">
      <w:pPr>
        <w:jc w:val="both"/>
        <w:rPr>
          <w:szCs w:val="24"/>
        </w:rPr>
      </w:pPr>
    </w:p>
    <w:p w:rsidR="007664EC" w:rsidRDefault="007664EC" w:rsidP="007664EC">
      <w:pPr>
        <w:jc w:val="both"/>
        <w:rPr>
          <w:rFonts w:cs="Arial"/>
          <w:b/>
          <w:szCs w:val="24"/>
        </w:rPr>
      </w:pPr>
      <w:r>
        <w:rPr>
          <w:szCs w:val="24"/>
        </w:rPr>
        <w:t xml:space="preserve">The Drugs Strategy (2017) echoes the commitment to treatment when it sets out the need to support people to address their dependence in order to </w:t>
      </w:r>
      <w:r>
        <w:rPr>
          <w:szCs w:val="24"/>
        </w:rPr>
        <w:lastRenderedPageBreak/>
        <w:t>reduce the risk of reoffending. For drug-related crime, reducing the number of heroin and crack users is likely to have the largest impact on volume crime levels.</w:t>
      </w:r>
    </w:p>
    <w:p w:rsidR="007664EC" w:rsidRDefault="007664EC" w:rsidP="007664EC">
      <w:pPr>
        <w:jc w:val="both"/>
        <w:rPr>
          <w:rFonts w:cs="Arial"/>
          <w:b/>
          <w:szCs w:val="24"/>
        </w:rPr>
      </w:pPr>
    </w:p>
    <w:p w:rsidR="007664EC" w:rsidRDefault="007664EC" w:rsidP="007664EC">
      <w:pPr>
        <w:jc w:val="both"/>
        <w:rPr>
          <w:szCs w:val="24"/>
        </w:rPr>
      </w:pPr>
      <w:r>
        <w:rPr>
          <w:szCs w:val="24"/>
        </w:rPr>
        <w:t xml:space="preserve">The picture for alcohol is slightly more complex. Violence and disorder in the night-time economy or in the home are largely the result of binge drinking. Some binge drinkers are alcohol dependent, and there is good evidence that specialist alcohol treatment for dependence assists with the reduction of such violence and disorder. </w:t>
      </w:r>
    </w:p>
    <w:p w:rsidR="007664EC" w:rsidRDefault="007664EC" w:rsidP="007664EC">
      <w:pPr>
        <w:jc w:val="both"/>
        <w:rPr>
          <w:szCs w:val="24"/>
        </w:rPr>
      </w:pPr>
    </w:p>
    <w:p w:rsidR="007664EC" w:rsidRDefault="007664EC" w:rsidP="007664EC">
      <w:pPr>
        <w:jc w:val="both"/>
        <w:rPr>
          <w:szCs w:val="24"/>
        </w:rPr>
      </w:pPr>
      <w:r>
        <w:rPr>
          <w:szCs w:val="24"/>
        </w:rPr>
        <w:t xml:space="preserve">Evidence-based drug and alcohol treatment can help reduce harm to the individual and the local community and deliver real savings, particularly in terms of crime costs, but also in savings in terms of health improvements, reduced drug and/or alcohol related deaths, lower levels of blood-borne infection and wider social harm. </w:t>
      </w:r>
    </w:p>
    <w:p w:rsidR="007664EC" w:rsidRDefault="007664EC" w:rsidP="007664EC">
      <w:pPr>
        <w:jc w:val="both"/>
        <w:rPr>
          <w:szCs w:val="24"/>
        </w:rPr>
      </w:pPr>
    </w:p>
    <w:p w:rsidR="007664EC" w:rsidRDefault="007664EC" w:rsidP="007664EC">
      <w:pPr>
        <w:jc w:val="both"/>
        <w:rPr>
          <w:b/>
          <w:szCs w:val="24"/>
        </w:rPr>
      </w:pPr>
      <w:r>
        <w:rPr>
          <w:b/>
          <w:szCs w:val="24"/>
        </w:rPr>
        <w:t>Drug Related Deaths</w:t>
      </w:r>
    </w:p>
    <w:p w:rsidR="007664EC" w:rsidRDefault="007664EC" w:rsidP="007664EC">
      <w:pPr>
        <w:autoSpaceDE w:val="0"/>
        <w:autoSpaceDN w:val="0"/>
        <w:adjustRightInd w:val="0"/>
        <w:jc w:val="both"/>
        <w:rPr>
          <w:rFonts w:cs="Arial"/>
          <w:szCs w:val="24"/>
          <w:lang w:eastAsia="en-GB"/>
        </w:rPr>
      </w:pPr>
      <w:r>
        <w:rPr>
          <w:rFonts w:cs="Arial"/>
          <w:szCs w:val="24"/>
          <w:lang w:eastAsia="en-GB"/>
        </w:rPr>
        <w:t>Potent opioid overdose represents a significant Public Health crisis and it is important that local Commissioners and multi-agency partners are prepared for, and able to respond and recover from incidents involving potent opioids.</w:t>
      </w:r>
    </w:p>
    <w:p w:rsidR="007664EC" w:rsidRDefault="007664EC" w:rsidP="007664EC">
      <w:pPr>
        <w:autoSpaceDE w:val="0"/>
        <w:autoSpaceDN w:val="0"/>
        <w:adjustRightInd w:val="0"/>
        <w:jc w:val="both"/>
        <w:rPr>
          <w:rFonts w:cs="Arial"/>
          <w:szCs w:val="24"/>
          <w:lang w:eastAsia="en-GB"/>
        </w:rPr>
      </w:pPr>
    </w:p>
    <w:p w:rsidR="007664EC" w:rsidRDefault="007664EC" w:rsidP="007664EC">
      <w:pPr>
        <w:jc w:val="both"/>
        <w:rPr>
          <w:rFonts w:cs="Arial"/>
          <w:iCs/>
          <w:sz w:val="16"/>
          <w:szCs w:val="16"/>
        </w:rPr>
      </w:pPr>
      <w:r>
        <w:rPr>
          <w:rFonts w:cs="Arial"/>
          <w:b/>
          <w:iCs/>
          <w:szCs w:val="24"/>
        </w:rPr>
        <w:t>Drug Related Deaths in Harrow</w:t>
      </w:r>
      <w:r>
        <w:rPr>
          <w:rFonts w:cs="Arial"/>
          <w:iCs/>
          <w:sz w:val="16"/>
          <w:szCs w:val="16"/>
        </w:rPr>
        <w:t xml:space="preserve"> </w:t>
      </w:r>
    </w:p>
    <w:p w:rsidR="007664EC" w:rsidRDefault="007007F0" w:rsidP="007664EC">
      <w:pPr>
        <w:jc w:val="both"/>
        <w:rPr>
          <w:rFonts w:cs="Arial"/>
          <w:iCs/>
          <w:color w:val="808080" w:themeColor="background1" w:themeShade="80"/>
          <w:sz w:val="16"/>
          <w:szCs w:val="16"/>
        </w:rPr>
      </w:pPr>
      <w:hyperlink r:id="rId17" w:history="1">
        <w:r w:rsidR="007664EC">
          <w:rPr>
            <w:rStyle w:val="Hyperlink"/>
            <w:rFonts w:cs="Arial"/>
            <w:iCs/>
            <w:color w:val="808080" w:themeColor="background1" w:themeShade="80"/>
            <w:sz w:val="16"/>
            <w:szCs w:val="16"/>
          </w:rPr>
          <w:t>https://www.ons.gov.uk/peoplepopulationandcommunity/birthsdeathsandmarriages/deaths/bulletins/deathsrelatedtodrugpoisoninginenglandandwales/2017registrations</w:t>
        </w:r>
      </w:hyperlink>
    </w:p>
    <w:p w:rsidR="007664EC" w:rsidRDefault="007664EC" w:rsidP="007664EC">
      <w:pPr>
        <w:jc w:val="both"/>
        <w:rPr>
          <w:rFonts w:cs="Arial"/>
          <w:iCs/>
          <w:szCs w:val="24"/>
        </w:rPr>
      </w:pPr>
    </w:p>
    <w:p w:rsidR="007664EC" w:rsidRDefault="007664EC" w:rsidP="007664EC">
      <w:pPr>
        <w:jc w:val="both"/>
        <w:rPr>
          <w:rFonts w:cs="Arial"/>
          <w:iCs/>
          <w:szCs w:val="24"/>
        </w:rPr>
      </w:pPr>
      <w:r>
        <w:rPr>
          <w:rFonts w:cs="Arial"/>
          <w:iCs/>
          <w:szCs w:val="24"/>
        </w:rPr>
        <w:t>2015/17:</w:t>
      </w:r>
      <w:r>
        <w:rPr>
          <w:rFonts w:cs="Arial"/>
          <w:iCs/>
          <w:szCs w:val="24"/>
        </w:rPr>
        <w:tab/>
        <w:t>19</w:t>
      </w:r>
    </w:p>
    <w:p w:rsidR="007664EC" w:rsidRDefault="007664EC" w:rsidP="007664EC">
      <w:pPr>
        <w:jc w:val="both"/>
        <w:rPr>
          <w:rFonts w:cs="Arial"/>
          <w:iCs/>
          <w:szCs w:val="24"/>
        </w:rPr>
      </w:pPr>
      <w:r>
        <w:rPr>
          <w:rFonts w:cs="Arial"/>
          <w:iCs/>
          <w:szCs w:val="24"/>
        </w:rPr>
        <w:t>2014/16:</w:t>
      </w:r>
      <w:r>
        <w:rPr>
          <w:rFonts w:cs="Arial"/>
          <w:iCs/>
          <w:szCs w:val="24"/>
        </w:rPr>
        <w:tab/>
        <w:t>17</w:t>
      </w:r>
    </w:p>
    <w:p w:rsidR="007664EC" w:rsidRDefault="007664EC" w:rsidP="007664EC">
      <w:pPr>
        <w:jc w:val="both"/>
        <w:rPr>
          <w:rFonts w:cs="Arial"/>
          <w:iCs/>
          <w:szCs w:val="24"/>
        </w:rPr>
      </w:pPr>
      <w:r>
        <w:rPr>
          <w:rFonts w:cs="Arial"/>
          <w:iCs/>
          <w:szCs w:val="24"/>
        </w:rPr>
        <w:t>2013/15:</w:t>
      </w:r>
      <w:r>
        <w:rPr>
          <w:rFonts w:cs="Arial"/>
          <w:iCs/>
          <w:szCs w:val="24"/>
        </w:rPr>
        <w:tab/>
        <w:t>14</w:t>
      </w:r>
    </w:p>
    <w:p w:rsidR="007664EC" w:rsidRDefault="007664EC" w:rsidP="007664EC">
      <w:pPr>
        <w:jc w:val="both"/>
        <w:rPr>
          <w:rFonts w:cs="Arial"/>
          <w:iCs/>
          <w:szCs w:val="24"/>
        </w:rPr>
      </w:pPr>
      <w:r>
        <w:rPr>
          <w:rFonts w:cs="Arial"/>
          <w:iCs/>
          <w:szCs w:val="24"/>
        </w:rPr>
        <w:t>2012/14:</w:t>
      </w:r>
      <w:r>
        <w:rPr>
          <w:rFonts w:cs="Arial"/>
          <w:iCs/>
          <w:szCs w:val="24"/>
        </w:rPr>
        <w:tab/>
        <w:t>12</w:t>
      </w:r>
    </w:p>
    <w:p w:rsidR="007664EC" w:rsidRDefault="007664EC" w:rsidP="007664EC">
      <w:pPr>
        <w:jc w:val="both"/>
        <w:rPr>
          <w:rFonts w:cs="Arial"/>
          <w:b/>
          <w:szCs w:val="24"/>
        </w:rPr>
      </w:pPr>
    </w:p>
    <w:p w:rsidR="007664EC" w:rsidRDefault="007664EC" w:rsidP="007664EC">
      <w:pPr>
        <w:autoSpaceDE w:val="0"/>
        <w:autoSpaceDN w:val="0"/>
        <w:adjustRightInd w:val="0"/>
        <w:jc w:val="both"/>
        <w:rPr>
          <w:rFonts w:cs="Arial"/>
          <w:szCs w:val="24"/>
          <w:lang w:eastAsia="en-GB"/>
        </w:rPr>
      </w:pPr>
      <w:r>
        <w:rPr>
          <w:rFonts w:cs="Arial"/>
          <w:szCs w:val="24"/>
          <w:lang w:eastAsia="en-GB"/>
        </w:rPr>
        <w:t>Established risk factors for drug misuse are:</w:t>
      </w:r>
    </w:p>
    <w:p w:rsidR="007664EC" w:rsidRDefault="007664EC" w:rsidP="007664EC">
      <w:pPr>
        <w:autoSpaceDE w:val="0"/>
        <w:autoSpaceDN w:val="0"/>
        <w:adjustRightInd w:val="0"/>
        <w:jc w:val="both"/>
        <w:rPr>
          <w:rFonts w:cs="Arial"/>
          <w:szCs w:val="24"/>
          <w:lang w:eastAsia="en-GB"/>
        </w:rPr>
      </w:pPr>
    </w:p>
    <w:p w:rsidR="007664EC" w:rsidRDefault="007664EC" w:rsidP="007664EC">
      <w:pPr>
        <w:pStyle w:val="ListParagraph"/>
        <w:numPr>
          <w:ilvl w:val="0"/>
          <w:numId w:val="20"/>
        </w:numPr>
        <w:autoSpaceDE w:val="0"/>
        <w:autoSpaceDN w:val="0"/>
        <w:adjustRightInd w:val="0"/>
        <w:jc w:val="both"/>
        <w:rPr>
          <w:rFonts w:cs="Arial"/>
          <w:szCs w:val="24"/>
          <w:lang w:eastAsia="en-GB"/>
        </w:rPr>
      </w:pPr>
      <w:r>
        <w:rPr>
          <w:rFonts w:cs="Arial"/>
          <w:szCs w:val="24"/>
          <w:lang w:eastAsia="en-GB"/>
        </w:rPr>
        <w:t>Family history of addiction</w:t>
      </w:r>
    </w:p>
    <w:p w:rsidR="007664EC" w:rsidRDefault="007664EC" w:rsidP="007664EC">
      <w:pPr>
        <w:pStyle w:val="ListParagraph"/>
        <w:numPr>
          <w:ilvl w:val="0"/>
          <w:numId w:val="20"/>
        </w:numPr>
        <w:autoSpaceDE w:val="0"/>
        <w:autoSpaceDN w:val="0"/>
        <w:adjustRightInd w:val="0"/>
        <w:jc w:val="both"/>
        <w:rPr>
          <w:rFonts w:cs="Arial"/>
          <w:szCs w:val="24"/>
          <w:lang w:eastAsia="en-GB"/>
        </w:rPr>
      </w:pPr>
      <w:r>
        <w:rPr>
          <w:rFonts w:cs="Arial"/>
          <w:szCs w:val="24"/>
          <w:lang w:eastAsia="en-GB"/>
        </w:rPr>
        <w:t>Socio-economic deprivation</w:t>
      </w:r>
    </w:p>
    <w:p w:rsidR="007664EC" w:rsidRDefault="007664EC" w:rsidP="007664EC">
      <w:pPr>
        <w:pStyle w:val="ListParagraph"/>
        <w:numPr>
          <w:ilvl w:val="0"/>
          <w:numId w:val="20"/>
        </w:numPr>
        <w:autoSpaceDE w:val="0"/>
        <w:autoSpaceDN w:val="0"/>
        <w:adjustRightInd w:val="0"/>
        <w:jc w:val="both"/>
        <w:rPr>
          <w:rFonts w:cs="Arial"/>
          <w:szCs w:val="24"/>
          <w:lang w:eastAsia="en-GB"/>
        </w:rPr>
      </w:pPr>
      <w:r>
        <w:rPr>
          <w:rFonts w:cs="Arial"/>
          <w:szCs w:val="24"/>
          <w:lang w:eastAsia="en-GB"/>
        </w:rPr>
        <w:t>Homelessness</w:t>
      </w:r>
    </w:p>
    <w:p w:rsidR="007664EC" w:rsidRDefault="007664EC" w:rsidP="007664EC">
      <w:pPr>
        <w:pStyle w:val="ListParagraph"/>
        <w:numPr>
          <w:ilvl w:val="0"/>
          <w:numId w:val="20"/>
        </w:numPr>
        <w:autoSpaceDE w:val="0"/>
        <w:autoSpaceDN w:val="0"/>
        <w:adjustRightInd w:val="0"/>
        <w:jc w:val="both"/>
        <w:rPr>
          <w:rFonts w:cs="Arial"/>
          <w:szCs w:val="24"/>
          <w:lang w:eastAsia="en-GB"/>
        </w:rPr>
      </w:pPr>
      <w:r>
        <w:rPr>
          <w:rFonts w:cs="Arial"/>
          <w:szCs w:val="24"/>
          <w:lang w:eastAsia="en-GB"/>
        </w:rPr>
        <w:t>Unemployment, poor working conditions and job insecurity</w:t>
      </w:r>
    </w:p>
    <w:p w:rsidR="007664EC" w:rsidRDefault="007664EC" w:rsidP="007664EC">
      <w:pPr>
        <w:pStyle w:val="ListParagraph"/>
        <w:numPr>
          <w:ilvl w:val="0"/>
          <w:numId w:val="20"/>
        </w:numPr>
        <w:autoSpaceDE w:val="0"/>
        <w:autoSpaceDN w:val="0"/>
        <w:adjustRightInd w:val="0"/>
        <w:jc w:val="both"/>
        <w:rPr>
          <w:rFonts w:cs="Arial"/>
          <w:szCs w:val="24"/>
          <w:lang w:eastAsia="en-GB"/>
        </w:rPr>
      </w:pPr>
      <w:r>
        <w:rPr>
          <w:rFonts w:cs="Arial"/>
          <w:szCs w:val="24"/>
          <w:lang w:eastAsia="en-GB"/>
        </w:rPr>
        <w:t>Men are more likely to use illegal drugs</w:t>
      </w:r>
    </w:p>
    <w:p w:rsidR="007664EC" w:rsidRDefault="007664EC" w:rsidP="007664EC">
      <w:pPr>
        <w:pStyle w:val="ListBullet"/>
        <w:numPr>
          <w:ilvl w:val="0"/>
          <w:numId w:val="20"/>
        </w:numPr>
      </w:pPr>
      <w:r>
        <w:t>Poor mental health is linked to drug misuse and vice versa</w:t>
      </w:r>
    </w:p>
    <w:p w:rsidR="007664EC" w:rsidRDefault="007664EC" w:rsidP="007664EC">
      <w:pPr>
        <w:pStyle w:val="ListBullet"/>
      </w:pPr>
      <w:r>
        <w:t xml:space="preserve">There is also a cohort of people with drug and alcohol problems that consequently have an impact on other public services including adult social care, criminal justice and health. </w:t>
      </w:r>
    </w:p>
    <w:p w:rsidR="007664EC" w:rsidRDefault="007664EC" w:rsidP="007664EC">
      <w:pPr>
        <w:autoSpaceDE w:val="0"/>
        <w:autoSpaceDN w:val="0"/>
        <w:adjustRightInd w:val="0"/>
        <w:jc w:val="both"/>
        <w:rPr>
          <w:rFonts w:cs="Arial"/>
          <w:szCs w:val="24"/>
          <w:lang w:val="en"/>
        </w:rPr>
      </w:pPr>
      <w:r>
        <w:rPr>
          <w:rFonts w:cs="Arial"/>
          <w:szCs w:val="24"/>
          <w:lang w:eastAsia="en-GB"/>
        </w:rPr>
        <w:t xml:space="preserve">In May 2018, PHE and Local Government Association (LGA) asked Local Authorities and their partners to prepare for potent opioids </w:t>
      </w:r>
      <w:r w:rsidRPr="00B10320">
        <w:rPr>
          <w:rFonts w:cs="Arial"/>
          <w:szCs w:val="24"/>
          <w:lang w:eastAsia="en-GB"/>
        </w:rPr>
        <w:t>appearing in their area,</w:t>
      </w:r>
      <w:r w:rsidRPr="00B10320">
        <w:rPr>
          <w:rFonts w:cs="Arial"/>
          <w:szCs w:val="24"/>
          <w:lang w:val="en"/>
        </w:rPr>
        <w:t xml:space="preserve"> particularly in light of recent international experience. Fentanyls</w:t>
      </w:r>
      <w:r>
        <w:rPr>
          <w:rFonts w:cs="Arial"/>
          <w:szCs w:val="24"/>
          <w:lang w:val="en"/>
        </w:rPr>
        <w:t xml:space="preserve"> are causing significant issues in the USA and Canada. Potent opioids such as fentanyl could be sought by people who use drugs, or might be unwittingly added to street heroin. In collaboration with the Borough Resilience Forum and Safer Harrow Board, Harrow Public Health developed a ‘</w:t>
      </w:r>
      <w:r>
        <w:rPr>
          <w:rFonts w:cs="Arial"/>
          <w:bCs/>
          <w:szCs w:val="24"/>
          <w:lang w:eastAsia="en-GB"/>
        </w:rPr>
        <w:t xml:space="preserve">Fentanyl: Preparing for a future threat - Potent Opioid Overdose Framework’ to </w:t>
      </w:r>
      <w:r>
        <w:rPr>
          <w:rFonts w:cs="Arial"/>
          <w:color w:val="080808"/>
          <w:szCs w:val="24"/>
          <w:lang w:eastAsia="en-GB"/>
        </w:rPr>
        <w:t xml:space="preserve">provide a threat specific operational response for our borough. </w:t>
      </w:r>
      <w:r>
        <w:rPr>
          <w:rFonts w:cs="Arial"/>
          <w:szCs w:val="24"/>
          <w:lang w:val="en"/>
        </w:rPr>
        <w:t xml:space="preserve"> On request, this </w:t>
      </w:r>
      <w:r>
        <w:rPr>
          <w:rFonts w:cs="Arial"/>
          <w:szCs w:val="24"/>
          <w:lang w:val="en"/>
        </w:rPr>
        <w:lastRenderedPageBreak/>
        <w:t xml:space="preserve">document has been shared with PHE London region for reference by other boroughs. </w:t>
      </w:r>
    </w:p>
    <w:p w:rsidR="00B10320" w:rsidRDefault="00B10320" w:rsidP="007664EC">
      <w:pPr>
        <w:autoSpaceDE w:val="0"/>
        <w:autoSpaceDN w:val="0"/>
        <w:adjustRightInd w:val="0"/>
        <w:jc w:val="both"/>
        <w:rPr>
          <w:rFonts w:cs="Arial"/>
          <w:szCs w:val="24"/>
          <w:lang w:val="en"/>
        </w:rPr>
      </w:pPr>
    </w:p>
    <w:p w:rsidR="00B10320" w:rsidRDefault="00B10320" w:rsidP="007664EC">
      <w:pPr>
        <w:autoSpaceDE w:val="0"/>
        <w:autoSpaceDN w:val="0"/>
        <w:adjustRightInd w:val="0"/>
        <w:jc w:val="both"/>
        <w:rPr>
          <w:rFonts w:cs="Arial"/>
          <w:szCs w:val="24"/>
          <w:lang w:val="en"/>
        </w:rPr>
      </w:pPr>
    </w:p>
    <w:p w:rsidR="00B10320" w:rsidRDefault="00B10320" w:rsidP="007664EC">
      <w:pPr>
        <w:autoSpaceDE w:val="0"/>
        <w:autoSpaceDN w:val="0"/>
        <w:adjustRightInd w:val="0"/>
        <w:jc w:val="both"/>
        <w:rPr>
          <w:rFonts w:cs="Arial"/>
          <w:szCs w:val="24"/>
          <w:lang w:val="en"/>
        </w:rPr>
      </w:pPr>
    </w:p>
    <w:p w:rsidR="00B10320" w:rsidRDefault="00B10320" w:rsidP="007664EC">
      <w:pPr>
        <w:autoSpaceDE w:val="0"/>
        <w:autoSpaceDN w:val="0"/>
        <w:adjustRightInd w:val="0"/>
        <w:jc w:val="both"/>
        <w:rPr>
          <w:rFonts w:cs="Arial"/>
          <w:szCs w:val="24"/>
          <w:lang w:val="en"/>
        </w:rPr>
      </w:pPr>
    </w:p>
    <w:p w:rsidR="007664EC" w:rsidRDefault="007664EC" w:rsidP="007664EC">
      <w:pPr>
        <w:jc w:val="both"/>
        <w:rPr>
          <w:szCs w:val="24"/>
        </w:rPr>
      </w:pPr>
    </w:p>
    <w:p w:rsidR="007664EC" w:rsidRDefault="007664EC" w:rsidP="007664EC">
      <w:pPr>
        <w:pStyle w:val="Heading2"/>
        <w:rPr>
          <w:color w:val="0000FF"/>
        </w:rPr>
      </w:pPr>
      <w:r>
        <w:rPr>
          <w:color w:val="0000FF"/>
        </w:rPr>
        <w:t>Why a change is needed</w:t>
      </w:r>
    </w:p>
    <w:p w:rsidR="007664EC" w:rsidRDefault="007664EC" w:rsidP="00C065BA">
      <w:pPr>
        <w:jc w:val="both"/>
        <w:rPr>
          <w:szCs w:val="24"/>
        </w:rPr>
      </w:pPr>
    </w:p>
    <w:p w:rsidR="00C065BA" w:rsidRDefault="00C065BA" w:rsidP="00C065BA">
      <w:pPr>
        <w:jc w:val="both"/>
        <w:rPr>
          <w:szCs w:val="24"/>
        </w:rPr>
      </w:pPr>
      <w:r>
        <w:rPr>
          <w:szCs w:val="24"/>
        </w:rPr>
        <w:t>The current Adult Substance Misuse Service commenced on 1</w:t>
      </w:r>
      <w:r>
        <w:rPr>
          <w:szCs w:val="24"/>
          <w:vertAlign w:val="superscript"/>
        </w:rPr>
        <w:t>st</w:t>
      </w:r>
      <w:r>
        <w:rPr>
          <w:szCs w:val="24"/>
        </w:rPr>
        <w:t xml:space="preserve"> October 2015 with a contract length of 2.5 years + 2 years extension. The contract is due to end on 31</w:t>
      </w:r>
      <w:r>
        <w:rPr>
          <w:szCs w:val="24"/>
          <w:vertAlign w:val="superscript"/>
        </w:rPr>
        <w:t>st</w:t>
      </w:r>
      <w:r>
        <w:rPr>
          <w:szCs w:val="24"/>
        </w:rPr>
        <w:t xml:space="preserve"> March 2020.</w:t>
      </w:r>
      <w:r w:rsidR="007664EC">
        <w:rPr>
          <w:szCs w:val="24"/>
        </w:rPr>
        <w:t xml:space="preserve"> </w:t>
      </w:r>
      <w:r>
        <w:rPr>
          <w:szCs w:val="24"/>
        </w:rPr>
        <w:t>The contract value of the Adult Substance Misuse is over £</w:t>
      </w:r>
      <w:r w:rsidR="007664EC">
        <w:rPr>
          <w:szCs w:val="24"/>
        </w:rPr>
        <w:t>500k so</w:t>
      </w:r>
      <w:r>
        <w:rPr>
          <w:szCs w:val="24"/>
        </w:rPr>
        <w:t xml:space="preserve"> Cabinet approval </w:t>
      </w:r>
      <w:r w:rsidR="0044574D">
        <w:rPr>
          <w:szCs w:val="24"/>
        </w:rPr>
        <w:t xml:space="preserve">is </w:t>
      </w:r>
      <w:r>
        <w:rPr>
          <w:szCs w:val="24"/>
        </w:rPr>
        <w:t>required under the Contract Procedure Rules (CPRs) and the Council’s Financial Regulations. A competitive tendering exercise will be carried out in accordance with the CPRs.</w:t>
      </w:r>
    </w:p>
    <w:p w:rsidR="00B10320" w:rsidRDefault="00B10320" w:rsidP="00C065BA">
      <w:pPr>
        <w:jc w:val="both"/>
        <w:rPr>
          <w:szCs w:val="24"/>
        </w:rPr>
      </w:pPr>
    </w:p>
    <w:p w:rsidR="0044574D" w:rsidRDefault="0044574D" w:rsidP="00C065BA">
      <w:pPr>
        <w:jc w:val="both"/>
      </w:pPr>
    </w:p>
    <w:p w:rsidR="007664EC" w:rsidRDefault="007664EC" w:rsidP="007664EC">
      <w:pPr>
        <w:pStyle w:val="Heading2"/>
        <w:rPr>
          <w:color w:val="0000FF"/>
        </w:rPr>
      </w:pPr>
      <w:r>
        <w:rPr>
          <w:color w:val="0000FF"/>
        </w:rPr>
        <w:t>Main option</w:t>
      </w:r>
    </w:p>
    <w:p w:rsidR="00C065BA" w:rsidRDefault="00C065BA" w:rsidP="00C065BA">
      <w:pPr>
        <w:ind w:hanging="426"/>
        <w:jc w:val="both"/>
        <w:rPr>
          <w:b/>
          <w:sz w:val="28"/>
        </w:rPr>
      </w:pPr>
    </w:p>
    <w:p w:rsidR="0044574D" w:rsidRDefault="0044574D" w:rsidP="0044574D">
      <w:pPr>
        <w:pStyle w:val="Heading2"/>
        <w:jc w:val="both"/>
        <w:rPr>
          <w:b w:val="0"/>
          <w:color w:val="000000"/>
          <w:sz w:val="24"/>
          <w:szCs w:val="24"/>
        </w:rPr>
      </w:pPr>
      <w:r w:rsidRPr="0044574D">
        <w:rPr>
          <w:b w:val="0"/>
          <w:sz w:val="24"/>
          <w:szCs w:val="24"/>
        </w:rPr>
        <w:t xml:space="preserve">Re-procurement of the Adult Substance Misuse Service is required to continue engagement and maintain support for Harrow residents and their families (and wider community) who are affected by substance misuse. </w:t>
      </w:r>
      <w:r w:rsidR="00C065BA" w:rsidRPr="0044574D">
        <w:rPr>
          <w:b w:val="0"/>
          <w:sz w:val="24"/>
          <w:szCs w:val="24"/>
        </w:rPr>
        <w:t>T</w:t>
      </w:r>
      <w:r w:rsidR="00C065BA" w:rsidRPr="0044574D">
        <w:rPr>
          <w:b w:val="0"/>
          <w:color w:val="000000"/>
          <w:sz w:val="24"/>
          <w:szCs w:val="24"/>
        </w:rPr>
        <w:t>he re-procurement of the existing service model will:</w:t>
      </w:r>
    </w:p>
    <w:p w:rsidR="0044574D" w:rsidRDefault="0044574D" w:rsidP="0044574D">
      <w:pPr>
        <w:pStyle w:val="Heading2"/>
        <w:jc w:val="both"/>
        <w:rPr>
          <w:b w:val="0"/>
          <w:color w:val="000000"/>
          <w:sz w:val="24"/>
          <w:szCs w:val="24"/>
        </w:rPr>
      </w:pPr>
    </w:p>
    <w:p w:rsidR="00C065BA" w:rsidRPr="0044574D" w:rsidRDefault="00C065BA" w:rsidP="00B10320">
      <w:pPr>
        <w:pStyle w:val="Heading2"/>
        <w:numPr>
          <w:ilvl w:val="0"/>
          <w:numId w:val="29"/>
        </w:numPr>
        <w:tabs>
          <w:tab w:val="left" w:pos="1134"/>
        </w:tabs>
        <w:ind w:hanging="11"/>
        <w:jc w:val="both"/>
        <w:rPr>
          <w:b w:val="0"/>
          <w:color w:val="000000"/>
          <w:sz w:val="24"/>
          <w:szCs w:val="24"/>
        </w:rPr>
      </w:pPr>
      <w:r w:rsidRPr="0044574D">
        <w:rPr>
          <w:b w:val="0"/>
          <w:color w:val="000000"/>
          <w:sz w:val="24"/>
          <w:szCs w:val="24"/>
        </w:rPr>
        <w:t xml:space="preserve">comply with The Public Contracts Regulations 2015 </w:t>
      </w:r>
    </w:p>
    <w:p w:rsidR="00C065BA" w:rsidRPr="0044574D" w:rsidRDefault="00C065BA" w:rsidP="00C065BA">
      <w:pPr>
        <w:numPr>
          <w:ilvl w:val="0"/>
          <w:numId w:val="17"/>
        </w:numPr>
        <w:jc w:val="both"/>
        <w:rPr>
          <w:rFonts w:cs="Arial"/>
          <w:color w:val="000000"/>
          <w:szCs w:val="24"/>
        </w:rPr>
      </w:pPr>
      <w:r w:rsidRPr="0044574D">
        <w:rPr>
          <w:rFonts w:cs="Arial"/>
          <w:color w:val="000000"/>
          <w:szCs w:val="24"/>
        </w:rPr>
        <w:t>deliver improved outcomes for service users by reducing levels of harm caused to health, meet the needs of diverse communities and address health inequalities</w:t>
      </w:r>
    </w:p>
    <w:p w:rsidR="00C065BA" w:rsidRDefault="00C065BA" w:rsidP="00C065BA">
      <w:pPr>
        <w:numPr>
          <w:ilvl w:val="0"/>
          <w:numId w:val="17"/>
        </w:numPr>
        <w:jc w:val="both"/>
        <w:rPr>
          <w:rFonts w:cs="Arial"/>
          <w:color w:val="000000"/>
          <w:szCs w:val="24"/>
        </w:rPr>
      </w:pPr>
      <w:r>
        <w:rPr>
          <w:rFonts w:cs="Arial"/>
          <w:color w:val="000000"/>
          <w:szCs w:val="24"/>
        </w:rPr>
        <w:t>reduce drug and alcohol related crime and anti-social behaviours</w:t>
      </w:r>
    </w:p>
    <w:p w:rsidR="00C065BA" w:rsidRDefault="00C065BA" w:rsidP="00C065BA">
      <w:pPr>
        <w:numPr>
          <w:ilvl w:val="0"/>
          <w:numId w:val="17"/>
        </w:numPr>
        <w:jc w:val="both"/>
        <w:rPr>
          <w:rFonts w:cs="Arial"/>
          <w:color w:val="000000"/>
          <w:szCs w:val="24"/>
        </w:rPr>
      </w:pPr>
      <w:r>
        <w:rPr>
          <w:rFonts w:cs="Arial"/>
          <w:color w:val="000000"/>
          <w:szCs w:val="24"/>
        </w:rPr>
        <w:t xml:space="preserve">improve harm reduction outcomes for service users in relation to Hepatitis  B, C and HIV testing and Hepatitis B vaccination </w:t>
      </w:r>
    </w:p>
    <w:p w:rsidR="00C065BA" w:rsidRDefault="00C065BA" w:rsidP="00C065BA">
      <w:pPr>
        <w:numPr>
          <w:ilvl w:val="0"/>
          <w:numId w:val="17"/>
        </w:numPr>
        <w:jc w:val="both"/>
        <w:rPr>
          <w:rFonts w:cs="Arial"/>
          <w:color w:val="000000"/>
          <w:szCs w:val="24"/>
        </w:rPr>
      </w:pPr>
      <w:r>
        <w:rPr>
          <w:rFonts w:cs="Arial"/>
          <w:bCs/>
          <w:color w:val="000000"/>
          <w:szCs w:val="24"/>
        </w:rPr>
        <w:t xml:space="preserve">continue to improve joint working with statutory and voluntary services i.e. </w:t>
      </w:r>
      <w:r>
        <w:rPr>
          <w:rFonts w:cs="Arial"/>
          <w:color w:val="000000"/>
          <w:szCs w:val="24"/>
        </w:rPr>
        <w:t>Children Services and Safeguarding services</w:t>
      </w:r>
    </w:p>
    <w:p w:rsidR="00C065BA" w:rsidRDefault="00C065BA" w:rsidP="00C065BA">
      <w:pPr>
        <w:jc w:val="both"/>
        <w:rPr>
          <w:rFonts w:cs="Arial"/>
          <w:color w:val="000000"/>
          <w:szCs w:val="24"/>
        </w:rPr>
      </w:pPr>
    </w:p>
    <w:p w:rsidR="00C065BA" w:rsidRDefault="00C065BA" w:rsidP="00C065BA">
      <w:pPr>
        <w:jc w:val="both"/>
        <w:rPr>
          <w:rFonts w:cs="Arial"/>
          <w:color w:val="000000"/>
          <w:szCs w:val="24"/>
        </w:rPr>
      </w:pPr>
      <w:r>
        <w:rPr>
          <w:rFonts w:cs="Arial"/>
          <w:color w:val="000000"/>
          <w:szCs w:val="24"/>
        </w:rPr>
        <w:t>The service model will be delivered via two elements:</w:t>
      </w:r>
    </w:p>
    <w:p w:rsidR="00C065BA" w:rsidRDefault="00C065BA" w:rsidP="00C065BA">
      <w:pPr>
        <w:jc w:val="both"/>
        <w:rPr>
          <w:rFonts w:cs="Arial"/>
          <w:color w:val="000000"/>
          <w:szCs w:val="24"/>
        </w:rPr>
      </w:pPr>
    </w:p>
    <w:p w:rsidR="00C065BA" w:rsidRDefault="00C065BA" w:rsidP="00C065BA">
      <w:pPr>
        <w:numPr>
          <w:ilvl w:val="0"/>
          <w:numId w:val="18"/>
        </w:numPr>
        <w:jc w:val="both"/>
        <w:rPr>
          <w:rFonts w:cs="Arial"/>
          <w:color w:val="000000"/>
          <w:szCs w:val="24"/>
        </w:rPr>
      </w:pPr>
      <w:r>
        <w:rPr>
          <w:rFonts w:cs="Arial"/>
          <w:b/>
          <w:color w:val="000000"/>
          <w:szCs w:val="24"/>
        </w:rPr>
        <w:t>Prescribing</w:t>
      </w:r>
      <w:r>
        <w:rPr>
          <w:rFonts w:cs="Arial"/>
          <w:color w:val="000000"/>
          <w:szCs w:val="24"/>
        </w:rPr>
        <w:t>: to deliver clinical review, detoxification/rehabilitation. (community and inpatient), harm reduction</w:t>
      </w:r>
    </w:p>
    <w:p w:rsidR="00C065BA" w:rsidRDefault="00C065BA" w:rsidP="00C065BA">
      <w:pPr>
        <w:numPr>
          <w:ilvl w:val="0"/>
          <w:numId w:val="18"/>
        </w:numPr>
        <w:jc w:val="both"/>
        <w:rPr>
          <w:rFonts w:cs="Arial"/>
          <w:color w:val="000000"/>
          <w:szCs w:val="24"/>
        </w:rPr>
      </w:pPr>
      <w:r>
        <w:rPr>
          <w:rFonts w:cs="Arial"/>
          <w:b/>
          <w:color w:val="000000"/>
          <w:szCs w:val="24"/>
        </w:rPr>
        <w:t>Recovery</w:t>
      </w:r>
      <w:r>
        <w:rPr>
          <w:rFonts w:cs="Arial"/>
          <w:color w:val="000000"/>
          <w:szCs w:val="24"/>
        </w:rPr>
        <w:t xml:space="preserve">: to deliver a </w:t>
      </w:r>
      <w:r>
        <w:rPr>
          <w:rFonts w:cs="Arial"/>
          <w:color w:val="000000"/>
          <w:szCs w:val="24"/>
          <w:lang w:val="en-US"/>
        </w:rPr>
        <w:t>recovery-focused programme (community and inpatient) supporting treatment leavers</w:t>
      </w:r>
      <w:r>
        <w:rPr>
          <w:rFonts w:cs="Arial"/>
          <w:b/>
          <w:color w:val="000000"/>
          <w:szCs w:val="24"/>
          <w:lang w:val="en-US"/>
        </w:rPr>
        <w:t xml:space="preserve"> </w:t>
      </w:r>
      <w:r>
        <w:rPr>
          <w:rFonts w:cs="Arial"/>
          <w:color w:val="000000"/>
          <w:szCs w:val="24"/>
          <w:lang w:val="en-US"/>
        </w:rPr>
        <w:t>with life skills, access to employment, training and education (ETE) in order to sustain long-term recovery from substance misuse.</w:t>
      </w:r>
      <w:r>
        <w:rPr>
          <w:rFonts w:cs="Arial"/>
          <w:color w:val="000000"/>
          <w:szCs w:val="24"/>
        </w:rPr>
        <w:t xml:space="preserve">  </w:t>
      </w:r>
    </w:p>
    <w:p w:rsidR="00C065BA" w:rsidRDefault="00C065BA" w:rsidP="00C065BA">
      <w:pPr>
        <w:jc w:val="both"/>
        <w:rPr>
          <w:rFonts w:cs="Arial"/>
          <w:color w:val="000000"/>
          <w:szCs w:val="24"/>
        </w:rPr>
      </w:pPr>
    </w:p>
    <w:p w:rsidR="00C065BA" w:rsidRDefault="00C065BA" w:rsidP="00C065BA">
      <w:pPr>
        <w:jc w:val="both"/>
        <w:rPr>
          <w:rFonts w:cs="Arial"/>
          <w:color w:val="000000"/>
          <w:szCs w:val="24"/>
        </w:rPr>
      </w:pPr>
      <w:r>
        <w:rPr>
          <w:rFonts w:cs="Arial"/>
          <w:color w:val="000000"/>
          <w:szCs w:val="24"/>
        </w:rPr>
        <w:t>The proposed contract term of the Substance Misuse Service re-procurement will be five years commencing 1 April 2020 until 31</w:t>
      </w:r>
      <w:r>
        <w:rPr>
          <w:rFonts w:cs="Arial"/>
          <w:color w:val="000000"/>
          <w:szCs w:val="24"/>
          <w:vertAlign w:val="superscript"/>
        </w:rPr>
        <w:t>st</w:t>
      </w:r>
      <w:r>
        <w:rPr>
          <w:rFonts w:cs="Arial"/>
          <w:color w:val="000000"/>
          <w:szCs w:val="24"/>
        </w:rPr>
        <w:t xml:space="preserve"> March 2025. </w:t>
      </w:r>
    </w:p>
    <w:p w:rsidR="00C065BA" w:rsidRDefault="00C065BA" w:rsidP="00C065BA">
      <w:pPr>
        <w:spacing w:before="40" w:after="40"/>
        <w:jc w:val="both"/>
        <w:rPr>
          <w:rFonts w:cs="Arial"/>
          <w:color w:val="000000"/>
          <w:szCs w:val="24"/>
        </w:rPr>
      </w:pPr>
    </w:p>
    <w:p w:rsidR="00C065BA" w:rsidRDefault="00C065BA" w:rsidP="00C065BA">
      <w:pPr>
        <w:spacing w:before="40" w:after="40"/>
        <w:jc w:val="both"/>
        <w:rPr>
          <w:rFonts w:cs="Arial"/>
          <w:szCs w:val="24"/>
        </w:rPr>
      </w:pPr>
      <w:r>
        <w:rPr>
          <w:rFonts w:cs="Arial"/>
          <w:szCs w:val="24"/>
        </w:rPr>
        <w:t>Based on current spend (£1,696,710. per annum) the estimated a</w:t>
      </w:r>
      <w:r>
        <w:rPr>
          <w:rFonts w:cs="Arial"/>
          <w:bCs/>
          <w:szCs w:val="24"/>
        </w:rPr>
        <w:t>ggregate value of the proposed contract for five year</w:t>
      </w:r>
      <w:r>
        <w:rPr>
          <w:rFonts w:cs="Arial"/>
          <w:szCs w:val="24"/>
        </w:rPr>
        <w:t>s is in the region of £8.5 million. All the above figures are subject to funding.</w:t>
      </w:r>
    </w:p>
    <w:p w:rsidR="00C065BA" w:rsidRDefault="00C065BA" w:rsidP="00C065BA">
      <w:pPr>
        <w:spacing w:before="40" w:after="40"/>
        <w:ind w:hanging="426"/>
        <w:jc w:val="both"/>
        <w:rPr>
          <w:rFonts w:cs="Arial"/>
          <w:color w:val="000000"/>
          <w:szCs w:val="24"/>
        </w:rPr>
      </w:pPr>
      <w:r>
        <w:rPr>
          <w:rFonts w:cs="Arial"/>
          <w:color w:val="000000"/>
          <w:szCs w:val="24"/>
        </w:rPr>
        <w:tab/>
      </w:r>
    </w:p>
    <w:p w:rsidR="002A2389" w:rsidRDefault="002A2389">
      <w:pPr>
        <w:pStyle w:val="Heading2"/>
        <w:rPr>
          <w:color w:val="0000FF"/>
        </w:rPr>
      </w:pPr>
      <w:r w:rsidRPr="0044574D">
        <w:rPr>
          <w:color w:val="0000FF"/>
        </w:rPr>
        <w:lastRenderedPageBreak/>
        <w:t>Other options considered</w:t>
      </w:r>
    </w:p>
    <w:p w:rsidR="007664EC" w:rsidRDefault="007664EC" w:rsidP="007664EC">
      <w:pPr>
        <w:jc w:val="both"/>
      </w:pPr>
    </w:p>
    <w:p w:rsidR="007664EC" w:rsidRDefault="0044574D" w:rsidP="007664EC">
      <w:pPr>
        <w:pStyle w:val="ListParagraph"/>
        <w:numPr>
          <w:ilvl w:val="0"/>
          <w:numId w:val="19"/>
        </w:numPr>
        <w:jc w:val="both"/>
      </w:pPr>
      <w:r w:rsidRPr="0044574D">
        <w:rPr>
          <w:b/>
        </w:rPr>
        <w:t>L.A. Harrow in-house delivery</w:t>
      </w:r>
      <w:r>
        <w:t xml:space="preserve">: </w:t>
      </w:r>
      <w:r w:rsidR="007664EC">
        <w:t xml:space="preserve">There is no rationale for L.A. Harrow to deliver the Adult Substance Misuse Service directly as the Council does not have the clinical structure/registration to deliver a clinical pathway. Relevant skills for the delivery of this Service lies within Health and CQC registered Voluntary sector. </w:t>
      </w:r>
    </w:p>
    <w:p w:rsidR="007664EC" w:rsidRDefault="007664EC" w:rsidP="007664EC">
      <w:pPr>
        <w:pStyle w:val="Heading2"/>
        <w:jc w:val="both"/>
        <w:rPr>
          <w:b w:val="0"/>
          <w:sz w:val="24"/>
          <w:szCs w:val="24"/>
        </w:rPr>
      </w:pPr>
    </w:p>
    <w:p w:rsidR="007664EC" w:rsidRDefault="0044574D" w:rsidP="007664EC">
      <w:pPr>
        <w:pStyle w:val="Heading2"/>
        <w:numPr>
          <w:ilvl w:val="0"/>
          <w:numId w:val="19"/>
        </w:numPr>
        <w:jc w:val="both"/>
        <w:rPr>
          <w:b w:val="0"/>
          <w:sz w:val="24"/>
          <w:szCs w:val="24"/>
        </w:rPr>
      </w:pPr>
      <w:r w:rsidRPr="0044574D">
        <w:rPr>
          <w:sz w:val="24"/>
          <w:szCs w:val="24"/>
        </w:rPr>
        <w:t>Extend current contract</w:t>
      </w:r>
      <w:r>
        <w:rPr>
          <w:b w:val="0"/>
          <w:sz w:val="24"/>
          <w:szCs w:val="24"/>
        </w:rPr>
        <w:t xml:space="preserve">: </w:t>
      </w:r>
      <w:r w:rsidR="007664EC">
        <w:rPr>
          <w:b w:val="0"/>
          <w:sz w:val="24"/>
          <w:szCs w:val="24"/>
        </w:rPr>
        <w:t>There is no option to extend the current Harrow Adult Substance Misuse Service as the opportunity was not contained in the previous tender or contract and this would leave Harrow Council vulnerable to challenge bearing in mind the value of this 5 year Contract.</w:t>
      </w:r>
    </w:p>
    <w:p w:rsidR="007664EC" w:rsidRDefault="007664EC">
      <w:pPr>
        <w:pStyle w:val="Heading2"/>
        <w:rPr>
          <w:color w:val="0000FF"/>
        </w:rPr>
      </w:pPr>
    </w:p>
    <w:p w:rsidR="00B10320" w:rsidRPr="00B10320" w:rsidRDefault="00B10320" w:rsidP="00B10320"/>
    <w:p w:rsidR="002A2389" w:rsidRDefault="002A2389">
      <w:pPr>
        <w:pStyle w:val="Heading2"/>
        <w:rPr>
          <w:color w:val="0000FF"/>
        </w:rPr>
      </w:pPr>
      <w:r>
        <w:rPr>
          <w:color w:val="0000FF"/>
        </w:rPr>
        <w:t xml:space="preserve">Implications of </w:t>
      </w:r>
      <w:r w:rsidR="007E7303">
        <w:rPr>
          <w:color w:val="0000FF"/>
        </w:rPr>
        <w:t xml:space="preserve">the </w:t>
      </w:r>
      <w:r>
        <w:rPr>
          <w:color w:val="0000FF"/>
        </w:rPr>
        <w:t>Recommendation</w:t>
      </w:r>
    </w:p>
    <w:p w:rsidR="007664EC" w:rsidRDefault="007664EC" w:rsidP="007664EC"/>
    <w:p w:rsidR="007664EC" w:rsidRDefault="007664EC" w:rsidP="007664EC">
      <w:pPr>
        <w:pStyle w:val="Heading2"/>
        <w:jc w:val="both"/>
        <w:rPr>
          <w:sz w:val="24"/>
          <w:szCs w:val="24"/>
        </w:rPr>
      </w:pPr>
      <w:r>
        <w:rPr>
          <w:b w:val="0"/>
          <w:sz w:val="24"/>
          <w:szCs w:val="24"/>
        </w:rPr>
        <w:t xml:space="preserve">At 2019/20, the budget for this Service is £1,696,710. and is currently funded from the existing Public Health budget - please see </w:t>
      </w:r>
      <w:r>
        <w:rPr>
          <w:sz w:val="24"/>
          <w:szCs w:val="24"/>
        </w:rPr>
        <w:t>Financial Implications.</w:t>
      </w:r>
    </w:p>
    <w:p w:rsidR="007664EC" w:rsidRDefault="007664EC" w:rsidP="007664EC">
      <w:pPr>
        <w:pStyle w:val="Heading4"/>
        <w:jc w:val="both"/>
        <w:rPr>
          <w:b w:val="0"/>
          <w:szCs w:val="24"/>
        </w:rPr>
      </w:pPr>
    </w:p>
    <w:p w:rsidR="007664EC" w:rsidRDefault="007664EC" w:rsidP="007664EC">
      <w:pPr>
        <w:pStyle w:val="Heading4"/>
        <w:jc w:val="both"/>
        <w:rPr>
          <w:b w:val="0"/>
          <w:szCs w:val="24"/>
        </w:rPr>
      </w:pPr>
      <w:r>
        <w:rPr>
          <w:b w:val="0"/>
          <w:szCs w:val="24"/>
        </w:rPr>
        <w:t xml:space="preserve">This Service will be contracted out to a Health or CQC Registered Voluntary sector provider. TUPE will apply to this contract but there are no implications for L.A. Harrow. </w:t>
      </w:r>
    </w:p>
    <w:p w:rsidR="007664EC" w:rsidRDefault="007664EC" w:rsidP="007664EC">
      <w:pPr>
        <w:jc w:val="both"/>
      </w:pPr>
    </w:p>
    <w:p w:rsidR="007664EC" w:rsidRPr="0044574D" w:rsidRDefault="007664EC" w:rsidP="007664EC">
      <w:pPr>
        <w:jc w:val="both"/>
        <w:rPr>
          <w:rFonts w:cs="Arial"/>
          <w:b/>
          <w:sz w:val="28"/>
          <w:szCs w:val="28"/>
        </w:rPr>
      </w:pPr>
      <w:r w:rsidRPr="0044574D">
        <w:rPr>
          <w:rFonts w:cs="Arial"/>
          <w:b/>
          <w:sz w:val="28"/>
          <w:szCs w:val="28"/>
        </w:rPr>
        <w:t>CQC</w:t>
      </w:r>
    </w:p>
    <w:p w:rsidR="007664EC" w:rsidRDefault="007664EC" w:rsidP="007664EC">
      <w:pPr>
        <w:jc w:val="both"/>
        <w:rPr>
          <w:rFonts w:cs="Arial"/>
          <w:szCs w:val="24"/>
        </w:rPr>
      </w:pPr>
      <w:r>
        <w:rPr>
          <w:rFonts w:cs="Arial"/>
          <w:szCs w:val="24"/>
        </w:rPr>
        <w:t>CQC are responsible for regulating Substance Misuse Services: Hospital in-patient based services, community based services and residential rehabilitation services. Inspections have consistent focus on people who are especially in vulnerable circumstances or from specific population groups such as: pregnant women (unborn children), young people, LGBT community, people with complex needs i.e. dual diagnosis, homeless people, older people, victims of domestic abuse, offenders returning to the community and sex workers.</w:t>
      </w:r>
    </w:p>
    <w:p w:rsidR="007664EC" w:rsidRDefault="007007F0" w:rsidP="007664EC">
      <w:pPr>
        <w:jc w:val="both"/>
        <w:rPr>
          <w:rFonts w:cs="Arial"/>
          <w:color w:val="808080" w:themeColor="background1" w:themeShade="80"/>
          <w:sz w:val="16"/>
          <w:szCs w:val="16"/>
        </w:rPr>
      </w:pPr>
      <w:hyperlink r:id="rId18" w:history="1">
        <w:r w:rsidR="007664EC">
          <w:rPr>
            <w:rStyle w:val="Hyperlink"/>
            <w:rFonts w:cs="Arial"/>
            <w:color w:val="808080" w:themeColor="background1" w:themeShade="80"/>
            <w:sz w:val="16"/>
            <w:szCs w:val="16"/>
          </w:rPr>
          <w:t>https://www.cqc.org.uk/sites/default/files/20140919_cqc_a_fresh_start_substance_misuse_final_low_res.pdf</w:t>
        </w:r>
      </w:hyperlink>
    </w:p>
    <w:p w:rsidR="007664EC" w:rsidRDefault="007664EC" w:rsidP="007664EC">
      <w:pPr>
        <w:jc w:val="both"/>
        <w:rPr>
          <w:rFonts w:cs="Arial"/>
          <w:szCs w:val="24"/>
        </w:rPr>
      </w:pPr>
    </w:p>
    <w:p w:rsidR="007664EC" w:rsidRDefault="007664EC" w:rsidP="007664EC">
      <w:pPr>
        <w:jc w:val="both"/>
        <w:rPr>
          <w:rFonts w:cs="Arial"/>
          <w:szCs w:val="24"/>
        </w:rPr>
      </w:pPr>
      <w:r>
        <w:rPr>
          <w:rFonts w:cs="Arial"/>
          <w:szCs w:val="24"/>
        </w:rPr>
        <w:t>In November 2017, following a course of inspections to independent sector residential rehabilitation units, CQC identified a substantial proportion of services not providing good quality care and treatment; and issued a briefing (including recommendations) to Providers, Commissioners and other local and national bodies that play a part in assuring the quality of Substance Misuse Services. The briefing highlighted a number of areas of concern surrounding care and specified:</w:t>
      </w:r>
    </w:p>
    <w:p w:rsidR="007664EC" w:rsidRDefault="007664EC" w:rsidP="007664EC">
      <w:pPr>
        <w:jc w:val="both"/>
        <w:rPr>
          <w:rFonts w:cs="Arial"/>
          <w:szCs w:val="24"/>
        </w:rPr>
      </w:pPr>
    </w:p>
    <w:p w:rsidR="007664EC" w:rsidRDefault="007664EC" w:rsidP="007664EC">
      <w:pPr>
        <w:pStyle w:val="ListParagraph"/>
        <w:numPr>
          <w:ilvl w:val="0"/>
          <w:numId w:val="21"/>
        </w:numPr>
        <w:jc w:val="both"/>
        <w:rPr>
          <w:rFonts w:cs="Arial"/>
          <w:szCs w:val="24"/>
        </w:rPr>
      </w:pPr>
      <w:r>
        <w:rPr>
          <w:rFonts w:cs="Arial"/>
          <w:szCs w:val="24"/>
        </w:rPr>
        <w:t>Drug Strategy 2017: CQC and PHE will work together to make those in national and local government responsible for the strategy’s implementation including good practice and areas of improvement</w:t>
      </w:r>
    </w:p>
    <w:p w:rsidR="007664EC" w:rsidRDefault="007664EC" w:rsidP="007664EC">
      <w:pPr>
        <w:pStyle w:val="ListParagraph"/>
        <w:numPr>
          <w:ilvl w:val="0"/>
          <w:numId w:val="21"/>
        </w:numPr>
        <w:jc w:val="both"/>
        <w:rPr>
          <w:rFonts w:cs="Arial"/>
          <w:color w:val="808080" w:themeColor="background1" w:themeShade="80"/>
          <w:szCs w:val="24"/>
        </w:rPr>
      </w:pPr>
      <w:r>
        <w:rPr>
          <w:rFonts w:cs="Arial"/>
          <w:szCs w:val="24"/>
        </w:rPr>
        <w:t>Controlled Drug Regulations 2013: L.A.s have responsibility for the safety of controlled drugs as set out in the regulation.</w:t>
      </w:r>
    </w:p>
    <w:p w:rsidR="007664EC" w:rsidRDefault="007007F0" w:rsidP="007664EC">
      <w:pPr>
        <w:jc w:val="both"/>
        <w:rPr>
          <w:rFonts w:cs="Arial"/>
          <w:color w:val="808080" w:themeColor="background1" w:themeShade="80"/>
          <w:sz w:val="16"/>
          <w:szCs w:val="16"/>
        </w:rPr>
      </w:pPr>
      <w:hyperlink r:id="rId19" w:history="1">
        <w:r w:rsidR="007664EC">
          <w:rPr>
            <w:rStyle w:val="Hyperlink"/>
            <w:rFonts w:cs="Arial"/>
            <w:color w:val="808080" w:themeColor="background1" w:themeShade="80"/>
            <w:sz w:val="16"/>
            <w:szCs w:val="16"/>
          </w:rPr>
          <w:t>https://www.cqc.org.uk/sites/default/files/20171130_briefing_sms_residential_detox.pdf</w:t>
        </w:r>
      </w:hyperlink>
    </w:p>
    <w:p w:rsidR="007664EC" w:rsidRDefault="007664EC" w:rsidP="007664EC">
      <w:pPr>
        <w:jc w:val="both"/>
        <w:rPr>
          <w:rFonts w:cs="Arial"/>
          <w:color w:val="808080" w:themeColor="background1" w:themeShade="80"/>
          <w:sz w:val="16"/>
          <w:szCs w:val="16"/>
        </w:rPr>
      </w:pPr>
    </w:p>
    <w:p w:rsidR="007664EC" w:rsidRDefault="007664EC" w:rsidP="007664EC">
      <w:pPr>
        <w:jc w:val="both"/>
        <w:rPr>
          <w:rFonts w:cs="Arial"/>
          <w:color w:val="808080" w:themeColor="background1" w:themeShade="80"/>
          <w:szCs w:val="24"/>
        </w:rPr>
      </w:pPr>
    </w:p>
    <w:p w:rsidR="007664EC" w:rsidRPr="00F87658" w:rsidRDefault="007664EC" w:rsidP="007664EC">
      <w:pPr>
        <w:jc w:val="both"/>
        <w:rPr>
          <w:rFonts w:cs="Arial"/>
          <w:b/>
          <w:szCs w:val="24"/>
        </w:rPr>
      </w:pPr>
      <w:r w:rsidRPr="00F87658">
        <w:rPr>
          <w:rFonts w:cs="Arial"/>
          <w:b/>
          <w:szCs w:val="24"/>
        </w:rPr>
        <w:t>Harrow CQC Inspection</w:t>
      </w:r>
    </w:p>
    <w:p w:rsidR="007664EC" w:rsidRDefault="007664EC" w:rsidP="007664EC">
      <w:pPr>
        <w:jc w:val="both"/>
        <w:rPr>
          <w:rFonts w:cs="Arial"/>
        </w:rPr>
      </w:pPr>
      <w:r>
        <w:rPr>
          <w:rFonts w:cs="Arial"/>
          <w:szCs w:val="24"/>
        </w:rPr>
        <w:lastRenderedPageBreak/>
        <w:t xml:space="preserve">During a challenging year of £0.5m reduction in budget, Harrow Substance Misuse Service received a CQC Inspection (March 2018) which </w:t>
      </w:r>
      <w:r>
        <w:rPr>
          <w:rFonts w:cs="Arial"/>
        </w:rPr>
        <w:t xml:space="preserve">identified four areas of outstanding practice and no areas for improvement, please see CQC Report: </w:t>
      </w:r>
    </w:p>
    <w:p w:rsidR="007664EC" w:rsidRDefault="007007F0" w:rsidP="007664EC">
      <w:pPr>
        <w:jc w:val="both"/>
      </w:pPr>
      <w:hyperlink r:id="rId20" w:history="1">
        <w:r w:rsidR="007664EC">
          <w:rPr>
            <w:rStyle w:val="Hyperlink"/>
            <w:rFonts w:cs="Arial"/>
          </w:rPr>
          <w:t>http://www.cqc.org.uk/location/1-3285253203</w:t>
        </w:r>
      </w:hyperlink>
    </w:p>
    <w:p w:rsidR="007664EC" w:rsidRDefault="007664EC" w:rsidP="007664EC">
      <w:pPr>
        <w:jc w:val="both"/>
      </w:pPr>
    </w:p>
    <w:p w:rsidR="007664EC" w:rsidRDefault="007664EC" w:rsidP="007664EC">
      <w:pPr>
        <w:jc w:val="both"/>
      </w:pPr>
    </w:p>
    <w:p w:rsidR="0028146E" w:rsidRDefault="0028146E" w:rsidP="0028146E">
      <w:pPr>
        <w:pStyle w:val="Heading2"/>
      </w:pPr>
    </w:p>
    <w:p w:rsidR="0028146E" w:rsidRDefault="0028146E" w:rsidP="0028146E">
      <w:pPr>
        <w:pStyle w:val="Heading2"/>
      </w:pPr>
      <w:r>
        <w:t xml:space="preserve">Financial </w:t>
      </w:r>
    </w:p>
    <w:p w:rsidR="0028146E" w:rsidRDefault="0028146E" w:rsidP="0028146E"/>
    <w:p w:rsidR="0028146E" w:rsidRDefault="0028146E" w:rsidP="0028146E">
      <w:pPr>
        <w:jc w:val="both"/>
        <w:rPr>
          <w:szCs w:val="24"/>
        </w:rPr>
      </w:pPr>
      <w:r>
        <w:rPr>
          <w:szCs w:val="24"/>
        </w:rPr>
        <w:t>Public Health allocation of grant for Harrow for 2019/20 is £10,523.000.</w:t>
      </w:r>
    </w:p>
    <w:p w:rsidR="0028146E" w:rsidRDefault="0028146E" w:rsidP="0028146E">
      <w:pPr>
        <w:jc w:val="both"/>
        <w:rPr>
          <w:szCs w:val="24"/>
        </w:rPr>
      </w:pPr>
    </w:p>
    <w:p w:rsidR="0028146E" w:rsidRDefault="0028146E" w:rsidP="0028146E">
      <w:pPr>
        <w:ind w:hanging="567"/>
        <w:jc w:val="both"/>
        <w:rPr>
          <w:szCs w:val="24"/>
        </w:rPr>
      </w:pPr>
      <w:r>
        <w:rPr>
          <w:szCs w:val="24"/>
        </w:rPr>
        <w:tab/>
        <w:t xml:space="preserve">The amount of the Public Health grant allocated to the Harrow Adult Substance Misuse Service contract is £1,696,710 plus IT Services for a Case Management System contract value of </w:t>
      </w:r>
      <w:r>
        <w:rPr>
          <w:rFonts w:cs="Arial"/>
          <w:szCs w:val="24"/>
        </w:rPr>
        <w:t>£28,290.00</w:t>
      </w:r>
      <w:r>
        <w:rPr>
          <w:szCs w:val="24"/>
        </w:rPr>
        <w:t xml:space="preserve">. </w:t>
      </w:r>
    </w:p>
    <w:p w:rsidR="0028146E" w:rsidRDefault="0028146E" w:rsidP="0028146E">
      <w:pPr>
        <w:jc w:val="both"/>
        <w:rPr>
          <w:rFonts w:cs="Arial"/>
        </w:rPr>
      </w:pPr>
    </w:p>
    <w:p w:rsidR="0028146E" w:rsidRDefault="0028146E" w:rsidP="0028146E">
      <w:pPr>
        <w:jc w:val="both"/>
        <w:rPr>
          <w:rFonts w:cs="Arial"/>
        </w:rPr>
      </w:pPr>
      <w:r>
        <w:rPr>
          <w:rFonts w:cs="Arial"/>
        </w:rPr>
        <w:t xml:space="preserve">This is the total cash envelope for the Harrow Adult Substance Misuse Service including the Case Management System. The re-procurement of the Service will require the Case Management System to be incorporated within the new contract and the expectation is for any award of contract to be made within this cash envelope.  </w:t>
      </w:r>
    </w:p>
    <w:p w:rsidR="0028146E" w:rsidRDefault="0028146E" w:rsidP="0028146E">
      <w:pPr>
        <w:jc w:val="both"/>
        <w:rPr>
          <w:szCs w:val="24"/>
        </w:rPr>
      </w:pPr>
    </w:p>
    <w:p w:rsidR="0028146E" w:rsidRDefault="0028146E" w:rsidP="0028146E">
      <w:pPr>
        <w:ind w:hanging="567"/>
        <w:jc w:val="both"/>
      </w:pPr>
      <w:r>
        <w:rPr>
          <w:szCs w:val="24"/>
        </w:rPr>
        <w:tab/>
        <w:t>T</w:t>
      </w:r>
      <w:r>
        <w:t>he impact of changes in expenditure arising from the re-procurement exercises will need to be contained within the annual grant amount.</w:t>
      </w:r>
    </w:p>
    <w:p w:rsidR="0028146E" w:rsidRDefault="0028146E" w:rsidP="0028146E">
      <w:pPr>
        <w:jc w:val="both"/>
        <w:rPr>
          <w:rFonts w:cs="Arial"/>
        </w:rPr>
      </w:pPr>
    </w:p>
    <w:p w:rsidR="0028146E" w:rsidRDefault="0028146E" w:rsidP="0028146E">
      <w:pPr>
        <w:pStyle w:val="ParagraphNumbering"/>
        <w:keepNext w:val="0"/>
        <w:numPr>
          <w:ilvl w:val="0"/>
          <w:numId w:val="0"/>
        </w:numPr>
        <w:tabs>
          <w:tab w:val="left" w:pos="720"/>
        </w:tabs>
        <w:spacing w:before="0" w:after="0"/>
        <w:jc w:val="both"/>
      </w:pPr>
      <w:r>
        <w:rPr>
          <w:sz w:val="24"/>
          <w:szCs w:val="24"/>
        </w:rPr>
        <w:t xml:space="preserve">The Public Health grant is currently ring-fenced until March 2020, after which it is expected that the service will be funded by business rates.  It is not clear what impact, if any, the changes to the funding will have on the level of available resource, however whilst these services are not statutory, they meet Public Health outcomes and will need to be provided.  </w:t>
      </w:r>
    </w:p>
    <w:p w:rsidR="0028146E" w:rsidRDefault="0028146E" w:rsidP="0028146E">
      <w:pPr>
        <w:pStyle w:val="ParagraphNumbering"/>
        <w:keepNext w:val="0"/>
        <w:numPr>
          <w:ilvl w:val="0"/>
          <w:numId w:val="0"/>
        </w:numPr>
        <w:tabs>
          <w:tab w:val="left" w:pos="720"/>
        </w:tabs>
        <w:spacing w:before="0" w:after="0"/>
        <w:jc w:val="both"/>
      </w:pPr>
    </w:p>
    <w:p w:rsidR="0028146E" w:rsidRDefault="0028146E" w:rsidP="0028146E">
      <w:pPr>
        <w:pStyle w:val="ParagraphNumbering"/>
        <w:keepNext w:val="0"/>
        <w:numPr>
          <w:ilvl w:val="0"/>
          <w:numId w:val="0"/>
        </w:numPr>
        <w:tabs>
          <w:tab w:val="left" w:pos="720"/>
        </w:tabs>
        <w:spacing w:before="0" w:after="0"/>
        <w:jc w:val="both"/>
      </w:pPr>
      <w:r>
        <w:rPr>
          <w:sz w:val="24"/>
          <w:szCs w:val="24"/>
        </w:rPr>
        <w:t xml:space="preserve">The eventual award of contract for these services will result in contractual obligations with the provider for services which are funded by external grant which cannot be guaranteed in the longer term. </w:t>
      </w:r>
    </w:p>
    <w:p w:rsidR="0028146E" w:rsidRDefault="0028146E" w:rsidP="0028146E">
      <w:pPr>
        <w:jc w:val="both"/>
      </w:pPr>
    </w:p>
    <w:p w:rsidR="0028146E" w:rsidRDefault="0028146E" w:rsidP="0028146E"/>
    <w:p w:rsidR="0028146E" w:rsidRDefault="0028146E" w:rsidP="0028146E">
      <w:pPr>
        <w:rPr>
          <w:b/>
          <w:sz w:val="28"/>
          <w:szCs w:val="28"/>
        </w:rPr>
      </w:pPr>
      <w:r w:rsidRPr="001417FD">
        <w:rPr>
          <w:b/>
          <w:sz w:val="28"/>
          <w:szCs w:val="28"/>
        </w:rPr>
        <w:t xml:space="preserve">Legal </w:t>
      </w:r>
    </w:p>
    <w:p w:rsidR="0028146E" w:rsidRPr="001417FD" w:rsidRDefault="0028146E" w:rsidP="0028146E">
      <w:pPr>
        <w:rPr>
          <w:b/>
          <w:sz w:val="28"/>
          <w:szCs w:val="28"/>
        </w:rPr>
      </w:pPr>
    </w:p>
    <w:p w:rsidR="0028146E" w:rsidRDefault="0028146E" w:rsidP="002814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hanging="567"/>
        <w:jc w:val="both"/>
        <w:rPr>
          <w:rFonts w:cs="Arial"/>
          <w:szCs w:val="24"/>
        </w:rPr>
      </w:pPr>
      <w:r>
        <w:rPr>
          <w:rFonts w:cs="Arial"/>
          <w:szCs w:val="24"/>
        </w:rPr>
        <w:tab/>
        <w:t xml:space="preserve">The Health and Social Care Act 2012 (“the Act”) introduced changes by way of a series of amendments to the National Health Service Act 2006. The Act gives local authorities a duty to take such steps as it considers appropriate to improve the health of the people in its area. In general terms, the Act confers on local authorities the function of improving public health and gives local authorities considerable scope to determine what actions it will take in pursuit of that general function. </w:t>
      </w:r>
    </w:p>
    <w:p w:rsidR="0028146E" w:rsidRDefault="0028146E" w:rsidP="0028146E">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792"/>
        <w:contextualSpacing/>
        <w:rPr>
          <w:rFonts w:cs="Arial"/>
          <w:szCs w:val="24"/>
        </w:rPr>
      </w:pPr>
    </w:p>
    <w:p w:rsidR="0028146E" w:rsidRDefault="0028146E" w:rsidP="0028146E">
      <w:pPr>
        <w:jc w:val="both"/>
        <w:rPr>
          <w:szCs w:val="24"/>
        </w:rPr>
      </w:pPr>
      <w:r>
        <w:rPr>
          <w:szCs w:val="24"/>
        </w:rPr>
        <w:t xml:space="preserve">The Harrow Adult Substance Misuse Service Contract has a value in excess of the relevant threshold under The Public Contract Regulations 2015 in relation to contracts for services of this nature so such services need to be competitively tendered under these Regulations.  </w:t>
      </w:r>
    </w:p>
    <w:p w:rsidR="0028146E" w:rsidRDefault="0028146E" w:rsidP="0028146E">
      <w:pPr>
        <w:ind w:hanging="567"/>
        <w:jc w:val="both"/>
        <w:rPr>
          <w:szCs w:val="24"/>
        </w:rPr>
      </w:pPr>
    </w:p>
    <w:p w:rsidR="0028146E" w:rsidRDefault="0028146E" w:rsidP="0028146E">
      <w:pPr>
        <w:jc w:val="both"/>
        <w:rPr>
          <w:szCs w:val="24"/>
        </w:rPr>
      </w:pPr>
      <w:r>
        <w:rPr>
          <w:szCs w:val="24"/>
        </w:rPr>
        <w:lastRenderedPageBreak/>
        <w:t>The Contract value of the Harrow Adult Substance Misuse is over £500k so Cabinet approval is required under the CPRs and the Council’s Financial Regulations. A competitive tendering exercise will be carried out in accordance with the CPRs and Legal note that that the Counc</w:t>
      </w:r>
      <w:r w:rsidR="00436429">
        <w:rPr>
          <w:szCs w:val="24"/>
        </w:rPr>
        <w:t>il will be undertaking an Open P</w:t>
      </w:r>
      <w:r>
        <w:rPr>
          <w:szCs w:val="24"/>
        </w:rPr>
        <w:t>rocedure. A market engagement event will take place prior to the tender being issued, with a bidders’ day currently being scheduled to take place</w:t>
      </w:r>
    </w:p>
    <w:p w:rsidR="0028146E" w:rsidRDefault="0028146E" w:rsidP="0028146E">
      <w:r>
        <w:t xml:space="preserve"> </w:t>
      </w:r>
    </w:p>
    <w:p w:rsidR="0028146E" w:rsidRDefault="0028146E" w:rsidP="0028146E">
      <w:pPr>
        <w:rPr>
          <w:b/>
          <w:sz w:val="28"/>
          <w:szCs w:val="28"/>
        </w:rPr>
      </w:pPr>
      <w:r>
        <w:rPr>
          <w:b/>
          <w:sz w:val="28"/>
          <w:szCs w:val="28"/>
        </w:rPr>
        <w:t xml:space="preserve">Data Protection </w:t>
      </w:r>
    </w:p>
    <w:p w:rsidR="0028146E" w:rsidRDefault="0028146E" w:rsidP="0028146E">
      <w:pPr>
        <w:rPr>
          <w:b/>
          <w:sz w:val="28"/>
          <w:szCs w:val="28"/>
        </w:rPr>
      </w:pPr>
    </w:p>
    <w:p w:rsidR="0028146E" w:rsidRDefault="0028146E" w:rsidP="0028146E">
      <w:pPr>
        <w:ind w:right="-55"/>
        <w:jc w:val="both"/>
        <w:rPr>
          <w:rFonts w:cs="Arial"/>
          <w:lang w:eastAsia="en-GB"/>
        </w:rPr>
      </w:pPr>
      <w:r>
        <w:rPr>
          <w:rFonts w:cs="Arial"/>
          <w:lang w:eastAsia="en-GB"/>
        </w:rPr>
        <w:t>Following a review of documentation for the purposes of compliancy with GDPR, PHE have put in place a Data Sharing Protocol to cover the sharing of data by L.A. Harrow commissioned services. PHE Data Sharing Protocol (for the purposes of sharing some service user treatment data with the PHE National Dr</w:t>
      </w:r>
      <w:r w:rsidR="00B10320">
        <w:rPr>
          <w:rFonts w:cs="Arial"/>
          <w:lang w:eastAsia="en-GB"/>
        </w:rPr>
        <w:t xml:space="preserve">ug Treatment Monitoring System - </w:t>
      </w:r>
      <w:r>
        <w:rPr>
          <w:rFonts w:cs="Arial"/>
          <w:lang w:eastAsia="en-GB"/>
        </w:rPr>
        <w:t>NDTMS) has been reviewed/approved by L.A. Harrow Information Governance Lead and subsequently signed off by L.A. Harrow Substance Misuse Commissioner.</w:t>
      </w:r>
    </w:p>
    <w:p w:rsidR="0028146E" w:rsidRDefault="0028146E" w:rsidP="0028146E">
      <w:pPr>
        <w:ind w:right="-55"/>
        <w:jc w:val="both"/>
        <w:rPr>
          <w:rFonts w:cs="Arial"/>
          <w:lang w:eastAsia="en-GB"/>
        </w:rPr>
      </w:pPr>
    </w:p>
    <w:p w:rsidR="0028146E" w:rsidRDefault="0028146E" w:rsidP="0028146E">
      <w:pPr>
        <w:jc w:val="both"/>
      </w:pPr>
      <w:r>
        <w:rPr>
          <w:rFonts w:cs="Arial"/>
          <w:lang w:eastAsia="en-GB"/>
        </w:rPr>
        <w:t>L.A. Harrow currently commission a separate Substance Misuse service Case Management System which our Substance Misuse Service Providers input activity and case notes. The re-procurement of the new Harrow Adult Substance Misuse Service will require a Case Management System to be incorporated within the new Service.</w:t>
      </w:r>
    </w:p>
    <w:p w:rsidR="0028146E" w:rsidRDefault="0028146E" w:rsidP="0028146E"/>
    <w:p w:rsidR="0028146E" w:rsidRDefault="0028146E" w:rsidP="0028146E">
      <w:pPr>
        <w:ind w:right="141"/>
        <w:rPr>
          <w:rFonts w:cs="Arial"/>
          <w:szCs w:val="24"/>
          <w:lang w:val="en-US" w:eastAsia="en-GB"/>
        </w:rPr>
      </w:pPr>
    </w:p>
    <w:p w:rsidR="007664EC" w:rsidRDefault="007664EC" w:rsidP="007664EC">
      <w:pPr>
        <w:pStyle w:val="Heading2"/>
        <w:jc w:val="both"/>
      </w:pPr>
      <w:r>
        <w:t>Risk Management</w:t>
      </w:r>
    </w:p>
    <w:p w:rsidR="0028146E" w:rsidRPr="0028146E" w:rsidRDefault="0028146E" w:rsidP="0028146E"/>
    <w:p w:rsidR="007664EC" w:rsidRDefault="007664EC" w:rsidP="007664EC">
      <w:r>
        <w:t>Continuity of Care of service users via the Providers Mobilisation and Clinical Governance Plans will be overseen at monthly mobilisation meetings held by Public Health.</w:t>
      </w:r>
    </w:p>
    <w:p w:rsidR="007664EC" w:rsidRDefault="007664EC" w:rsidP="007664EC"/>
    <w:p w:rsidR="007664EC" w:rsidRDefault="007664EC" w:rsidP="007664EC">
      <w:pPr>
        <w:pStyle w:val="Default"/>
        <w:jc w:val="both"/>
      </w:pPr>
      <w:r>
        <w:t>Due to the nature of the service, possible re-location of the new service may meet local opposition. Harrow Public Health will need to work with the local press and politicians to ensure the establishment of the new service is managed effectively. Services users will be updated via Harrow’s current Provider’s Service User Group.</w:t>
      </w:r>
    </w:p>
    <w:p w:rsidR="007664EC" w:rsidRDefault="007664EC" w:rsidP="007664EC">
      <w:pPr>
        <w:pStyle w:val="Default"/>
        <w:jc w:val="both"/>
      </w:pPr>
    </w:p>
    <w:p w:rsidR="007664EC" w:rsidRDefault="007664EC" w:rsidP="007664EC">
      <w:pPr>
        <w:rPr>
          <w:b/>
        </w:rPr>
      </w:pPr>
      <w:r>
        <w:rPr>
          <w:b/>
        </w:rPr>
        <w:t>Ris</w:t>
      </w:r>
      <w:r w:rsidR="00436429">
        <w:rPr>
          <w:b/>
        </w:rPr>
        <w:t>k if Proposal does not go ahead</w:t>
      </w:r>
    </w:p>
    <w:p w:rsidR="007664EC" w:rsidRDefault="007664EC" w:rsidP="007664EC">
      <w:pPr>
        <w:autoSpaceDE w:val="0"/>
        <w:autoSpaceDN w:val="0"/>
        <w:adjustRightInd w:val="0"/>
      </w:pPr>
      <w:r>
        <w:rPr>
          <w:rFonts w:cs="Arial"/>
          <w:szCs w:val="24"/>
          <w:lang w:eastAsia="en-GB"/>
        </w:rPr>
        <w:t xml:space="preserve">L.A. Harrow will be unable to fulfil it’s obligation under </w:t>
      </w:r>
      <w:r>
        <w:rPr>
          <w:rFonts w:cs="Arial"/>
          <w:lang w:eastAsia="en-GB"/>
        </w:rPr>
        <w:t xml:space="preserve">Health and Social Care Act 2012, Criminal Justice Act 1991 and Children’s Act 1989 </w:t>
      </w:r>
      <w:r>
        <w:rPr>
          <w:rFonts w:cs="Arial"/>
          <w:szCs w:val="24"/>
          <w:lang w:eastAsia="en-GB"/>
        </w:rPr>
        <w:t>to ensure effective substance misuse services are in place to meet the needs of Harrow residents (including families) affected drug and alcohol users and to mitigate the negative effect  to the wider community.</w:t>
      </w:r>
      <w:r>
        <w:t xml:space="preserve"> </w:t>
      </w:r>
    </w:p>
    <w:p w:rsidR="007664EC" w:rsidRDefault="007664EC" w:rsidP="007664EC">
      <w:pPr>
        <w:autoSpaceDE w:val="0"/>
        <w:autoSpaceDN w:val="0"/>
        <w:adjustRightInd w:val="0"/>
      </w:pPr>
    </w:p>
    <w:p w:rsidR="00F87658" w:rsidRDefault="00F87658" w:rsidP="007664EC">
      <w:pPr>
        <w:autoSpaceDE w:val="0"/>
        <w:autoSpaceDN w:val="0"/>
        <w:adjustRightInd w:val="0"/>
      </w:pPr>
    </w:p>
    <w:p w:rsidR="007664EC" w:rsidRDefault="007664EC" w:rsidP="007664EC">
      <w:pPr>
        <w:pStyle w:val="Heading2"/>
      </w:pPr>
      <w:r>
        <w:t xml:space="preserve">Procurement </w:t>
      </w:r>
    </w:p>
    <w:p w:rsidR="0028146E" w:rsidRPr="0028146E" w:rsidRDefault="0028146E" w:rsidP="0028146E"/>
    <w:p w:rsidR="004001D6" w:rsidRDefault="004001D6" w:rsidP="004001D6">
      <w:r>
        <w:t>It is intended that the Council will follow an OPEN Procedure; the contract term will be for five years.</w:t>
      </w:r>
    </w:p>
    <w:p w:rsidR="004001D6" w:rsidRDefault="004001D6" w:rsidP="004001D6"/>
    <w:p w:rsidR="004001D6" w:rsidRDefault="004001D6" w:rsidP="004001D6">
      <w:r>
        <w:t>The proposed top level evaluation criteria will be:</w:t>
      </w:r>
    </w:p>
    <w:p w:rsidR="004001D6" w:rsidRDefault="004001D6" w:rsidP="004001D6">
      <w:r>
        <w:lastRenderedPageBreak/>
        <w:t>Price:</w:t>
      </w:r>
      <w:r>
        <w:tab/>
      </w:r>
      <w:r>
        <w:tab/>
        <w:t>40%</w:t>
      </w:r>
    </w:p>
    <w:p w:rsidR="004001D6" w:rsidRDefault="004001D6" w:rsidP="004001D6">
      <w:r>
        <w:t>Quality:</w:t>
      </w:r>
      <w:r>
        <w:tab/>
        <w:t>50%</w:t>
      </w:r>
    </w:p>
    <w:p w:rsidR="004001D6" w:rsidRDefault="004001D6" w:rsidP="004001D6">
      <w:r>
        <w:t>Social Value:</w:t>
      </w:r>
      <w:r>
        <w:tab/>
        <w:t>10%</w:t>
      </w:r>
    </w:p>
    <w:p w:rsidR="004001D6" w:rsidRDefault="004001D6" w:rsidP="004001D6"/>
    <w:p w:rsidR="004001D6" w:rsidRPr="007664EC" w:rsidRDefault="004001D6" w:rsidP="004001D6"/>
    <w:p w:rsidR="0028146E" w:rsidRPr="00A50388" w:rsidRDefault="0028146E" w:rsidP="0028146E">
      <w:pPr>
        <w:pStyle w:val="Heading2"/>
        <w:keepNext/>
        <w:rPr>
          <w:color w:val="FF0000"/>
        </w:rPr>
      </w:pPr>
      <w:r w:rsidRPr="004A2543">
        <w:t>Equalities implications</w:t>
      </w:r>
      <w:r>
        <w:t xml:space="preserve"> </w:t>
      </w:r>
      <w:r w:rsidRPr="00333FAA">
        <w:t>/</w:t>
      </w:r>
      <w:r>
        <w:t xml:space="preserve"> </w:t>
      </w:r>
      <w:r w:rsidRPr="00333FAA">
        <w:t>Public Sector Equality Duty</w:t>
      </w:r>
    </w:p>
    <w:p w:rsidR="0028146E" w:rsidRDefault="0028146E" w:rsidP="0028146E">
      <w:pPr>
        <w:keepNext/>
      </w:pPr>
    </w:p>
    <w:p w:rsidR="0028146E" w:rsidRPr="004A2543" w:rsidRDefault="0028146E" w:rsidP="0028146E">
      <w:r w:rsidRPr="004A2543">
        <w:t>Was an Equality Impact Assessment carried out?  Yes</w:t>
      </w:r>
    </w:p>
    <w:p w:rsidR="0028146E" w:rsidRPr="004A2543" w:rsidRDefault="0028146E" w:rsidP="0028146E"/>
    <w:p w:rsidR="0028146E" w:rsidRDefault="0028146E" w:rsidP="0028146E">
      <w:pPr>
        <w:ind w:right="141"/>
        <w:rPr>
          <w:rFonts w:cs="Arial"/>
          <w:szCs w:val="24"/>
          <w:lang w:val="en-US" w:eastAsia="en-GB"/>
        </w:rPr>
      </w:pPr>
      <w:r>
        <w:rPr>
          <w:rFonts w:cs="Arial"/>
          <w:szCs w:val="24"/>
          <w:lang w:val="en-US" w:eastAsia="en-GB"/>
        </w:rPr>
        <w:t xml:space="preserve">The re-procurement of the Harrow Adult Substance Misuse Service will not lead to reduction in current provision as the intention is to achieve better outcomes for all residents (but particularly those at risk) and better value for money.  Therefore no protected </w:t>
      </w:r>
      <w:r w:rsidR="00436429">
        <w:rPr>
          <w:rFonts w:cs="Arial"/>
          <w:szCs w:val="24"/>
          <w:lang w:val="en-US" w:eastAsia="en-GB"/>
        </w:rPr>
        <w:t>characteristics group</w:t>
      </w:r>
      <w:r>
        <w:rPr>
          <w:rFonts w:cs="Arial"/>
          <w:szCs w:val="24"/>
          <w:lang w:val="en-US" w:eastAsia="en-GB"/>
        </w:rPr>
        <w:t xml:space="preserve"> will be adversely affected by these proposals.</w:t>
      </w:r>
    </w:p>
    <w:p w:rsidR="0028146E" w:rsidRDefault="0028146E" w:rsidP="00A50388">
      <w:pPr>
        <w:rPr>
          <w:rFonts w:ascii="Arial Bold" w:hAnsi="Arial Bold"/>
          <w:b/>
          <w:sz w:val="28"/>
        </w:rPr>
      </w:pPr>
    </w:p>
    <w:p w:rsidR="0028146E" w:rsidRDefault="0028146E" w:rsidP="00A50388">
      <w:pPr>
        <w:rPr>
          <w:rFonts w:ascii="Arial Bold" w:hAnsi="Arial Bold"/>
          <w:b/>
          <w:sz w:val="28"/>
        </w:rPr>
      </w:pPr>
    </w:p>
    <w:p w:rsidR="00A50388" w:rsidRPr="00A50388" w:rsidRDefault="00A50388" w:rsidP="00A50388">
      <w:pPr>
        <w:rPr>
          <w:rFonts w:ascii="Arial Bold" w:hAnsi="Arial Bold"/>
          <w:b/>
          <w:sz w:val="28"/>
        </w:rPr>
      </w:pPr>
      <w:r w:rsidRPr="00A50388">
        <w:rPr>
          <w:rFonts w:ascii="Arial Bold" w:hAnsi="Arial Bold"/>
          <w:b/>
          <w:sz w:val="28"/>
        </w:rPr>
        <w:t xml:space="preserve">Ward Councillors’ comments </w:t>
      </w:r>
    </w:p>
    <w:p w:rsidR="00A50388" w:rsidRDefault="00A50388">
      <w:pPr>
        <w:rPr>
          <w:color w:val="0000FF"/>
        </w:rPr>
      </w:pPr>
    </w:p>
    <w:p w:rsidR="00080819" w:rsidRPr="00DD4251" w:rsidRDefault="007007F0" w:rsidP="00DD4251">
      <w:pPr>
        <w:ind w:right="141"/>
        <w:rPr>
          <w:rFonts w:cs="Arial"/>
          <w:szCs w:val="24"/>
          <w:lang w:val="en-US" w:eastAsia="en-GB"/>
        </w:rPr>
      </w:pPr>
      <w:r>
        <w:rPr>
          <w:rFonts w:cs="Arial"/>
          <w:szCs w:val="24"/>
          <w:lang w:val="en-US" w:eastAsia="en-GB"/>
        </w:rPr>
        <w:t>None as it applies to all wards</w:t>
      </w:r>
    </w:p>
    <w:p w:rsidR="004001D6" w:rsidRDefault="004001D6" w:rsidP="00C32DAE">
      <w:pPr>
        <w:ind w:right="141"/>
        <w:rPr>
          <w:rFonts w:cs="Arial"/>
          <w:szCs w:val="24"/>
          <w:lang w:val="en-US"/>
        </w:rPr>
      </w:pPr>
    </w:p>
    <w:p w:rsidR="00BF6C06" w:rsidRPr="00CD57D8" w:rsidRDefault="005874F0" w:rsidP="00BF6C06">
      <w:pPr>
        <w:pStyle w:val="Heading2"/>
      </w:pPr>
      <w:r>
        <w:t>Council</w:t>
      </w:r>
      <w:r w:rsidR="00D34145">
        <w:t xml:space="preserve"> </w:t>
      </w:r>
      <w:r w:rsidR="00BF6C06" w:rsidRPr="00CD57D8">
        <w:t>Priorities</w:t>
      </w:r>
    </w:p>
    <w:p w:rsidR="00BF6C06" w:rsidRDefault="00BF6C06" w:rsidP="00BF6C06">
      <w:pPr>
        <w:keepNext/>
        <w:ind w:right="144"/>
        <w:rPr>
          <w:rFonts w:cs="Arial"/>
          <w:szCs w:val="24"/>
          <w:lang w:val="en-US"/>
        </w:rPr>
      </w:pPr>
    </w:p>
    <w:p w:rsidR="00FF344E" w:rsidRDefault="00FF344E" w:rsidP="00FF344E">
      <w:pPr>
        <w:jc w:val="both"/>
        <w:rPr>
          <w:rFonts w:cs="Arial"/>
          <w:szCs w:val="24"/>
          <w:lang w:val="en-US"/>
        </w:rPr>
      </w:pPr>
      <w:r>
        <w:rPr>
          <w:rFonts w:cs="Arial"/>
          <w:szCs w:val="24"/>
          <w:lang w:val="en-US"/>
        </w:rPr>
        <w:t>Through its clinical treatment, psychosocial recovery pathway and working within the wider multi-disciplinary health and social care, Harrow Adult Substance Misuse Service directly links to the Council priorities.</w:t>
      </w:r>
    </w:p>
    <w:p w:rsidR="00FF344E" w:rsidRDefault="00FF344E" w:rsidP="00FF344E">
      <w:pPr>
        <w:jc w:val="both"/>
        <w:rPr>
          <w:rFonts w:cs="Arial"/>
          <w:szCs w:val="24"/>
          <w:lang w:val="en-US"/>
        </w:rPr>
      </w:pPr>
    </w:p>
    <w:p w:rsidR="00FF344E" w:rsidRDefault="00FF344E" w:rsidP="00FF344E">
      <w:pPr>
        <w:jc w:val="both"/>
      </w:pPr>
      <w:r>
        <w:t>The Service will contribute to ensuring the health and wellbeing of local residents and those vulnerable residents have access to the information, support, diagnosis and treatment they require to achieve optimum health.  The service user’s engagement in these services also has a positive impact on the family and the wider community.</w:t>
      </w:r>
    </w:p>
    <w:p w:rsidR="00FF344E" w:rsidRDefault="00FF344E" w:rsidP="00FF344E">
      <w:pPr>
        <w:jc w:val="both"/>
      </w:pPr>
    </w:p>
    <w:p w:rsidR="00FF344E" w:rsidRDefault="00FF344E" w:rsidP="00FF344E">
      <w:pPr>
        <w:pStyle w:val="ListParagraph"/>
        <w:numPr>
          <w:ilvl w:val="0"/>
          <w:numId w:val="23"/>
        </w:numPr>
        <w:jc w:val="both"/>
      </w:pPr>
      <w:r>
        <w:rPr>
          <w:lang w:val="en"/>
        </w:rPr>
        <w:t>Making a difference for the vulnerable</w:t>
      </w:r>
    </w:p>
    <w:p w:rsidR="00FF344E" w:rsidRDefault="00FF344E" w:rsidP="00FF344E">
      <w:pPr>
        <w:pStyle w:val="ListParagraph"/>
        <w:numPr>
          <w:ilvl w:val="0"/>
          <w:numId w:val="23"/>
        </w:numPr>
        <w:jc w:val="both"/>
      </w:pPr>
      <w:r>
        <w:t>Making a difference for communities</w:t>
      </w:r>
    </w:p>
    <w:p w:rsidR="00FF344E" w:rsidRDefault="00FF344E" w:rsidP="00FF344E">
      <w:pPr>
        <w:pStyle w:val="ListParagraph"/>
        <w:numPr>
          <w:ilvl w:val="0"/>
          <w:numId w:val="23"/>
        </w:numPr>
        <w:jc w:val="both"/>
      </w:pPr>
      <w:r>
        <w:t>Making a difference for local businesses</w:t>
      </w:r>
    </w:p>
    <w:p w:rsidR="00FF344E" w:rsidRDefault="00FF344E" w:rsidP="00FF344E">
      <w:pPr>
        <w:pStyle w:val="ListParagraph"/>
        <w:numPr>
          <w:ilvl w:val="0"/>
          <w:numId w:val="23"/>
        </w:numPr>
        <w:jc w:val="both"/>
      </w:pPr>
      <w:r>
        <w:t>Making a difference for families</w:t>
      </w:r>
    </w:p>
    <w:p w:rsidR="00FF344E" w:rsidRDefault="00FF344E" w:rsidP="00FF344E">
      <w:pPr>
        <w:jc w:val="both"/>
      </w:pPr>
    </w:p>
    <w:p w:rsidR="00FF344E" w:rsidRDefault="00FF344E" w:rsidP="00FF344E">
      <w:pPr>
        <w:jc w:val="both"/>
      </w:pPr>
      <w:r>
        <w:t xml:space="preserve">For example drug and alcohol dependency goes hand in hand with poor health, homelessness, family breakdown and offending - all of which are associated with significant burden to public services and ultimately the tax payer. Drug and alcohol treatment provides a positive return on investment both financially and socially by reducing costs to health, criminal justice and other sectors and reducing harms to individuals, families and communities. </w:t>
      </w:r>
    </w:p>
    <w:p w:rsidR="00FF344E" w:rsidRDefault="00FF344E" w:rsidP="00FF344E">
      <w:pPr>
        <w:pStyle w:val="NormalWeb"/>
        <w:spacing w:before="0" w:beforeAutospacing="0" w:after="0"/>
        <w:jc w:val="both"/>
        <w:rPr>
          <w:rFonts w:ascii="Arial" w:hAnsi="Arial" w:cs="Arial"/>
          <w:lang w:val="en"/>
        </w:rPr>
      </w:pPr>
    </w:p>
    <w:p w:rsidR="00FF344E" w:rsidRDefault="00FF344E" w:rsidP="00FF344E">
      <w:pPr>
        <w:pStyle w:val="NormalWeb"/>
        <w:spacing w:before="0" w:beforeAutospacing="0" w:after="0"/>
        <w:jc w:val="both"/>
        <w:rPr>
          <w:rFonts w:ascii="Arial" w:hAnsi="Arial" w:cs="Arial"/>
          <w:lang w:val="en"/>
        </w:rPr>
      </w:pPr>
      <w:r>
        <w:rPr>
          <w:rFonts w:ascii="Arial" w:hAnsi="Arial" w:cs="Arial"/>
          <w:lang w:val="en"/>
        </w:rPr>
        <w:t>Providing well funded drug and alcohol services is good value for money because it cuts crime, improves health, and can support individuals and families on the road to recovery.</w:t>
      </w:r>
    </w:p>
    <w:p w:rsidR="00FF344E" w:rsidRDefault="00FF344E" w:rsidP="00FF344E">
      <w:pPr>
        <w:pStyle w:val="NormalWeb"/>
        <w:jc w:val="both"/>
        <w:rPr>
          <w:rFonts w:ascii="Arial" w:eastAsia="Times New Roman" w:hAnsi="Arial" w:cs="Arial"/>
          <w:lang w:val="en" w:eastAsia="en-GB"/>
        </w:rPr>
      </w:pPr>
      <w:r>
        <w:rPr>
          <w:rFonts w:ascii="Arial" w:hAnsi="Arial" w:cs="Arial"/>
        </w:rPr>
        <w:t xml:space="preserve">Figures </w:t>
      </w:r>
      <w:r>
        <w:rPr>
          <w:rFonts w:ascii="Arial" w:hAnsi="Arial" w:cs="Arial"/>
          <w:lang w:val="en"/>
        </w:rPr>
        <w:t>taken from PHE’s alcohol and drug treatment commissioning tool for L.A.s demonstrates</w:t>
      </w:r>
      <w:r>
        <w:rPr>
          <w:rFonts w:ascii="Arial" w:eastAsia="Times New Roman" w:hAnsi="Arial" w:cs="Arial"/>
          <w:lang w:val="en" w:eastAsia="en-GB"/>
        </w:rPr>
        <w:t>:</w:t>
      </w:r>
    </w:p>
    <w:p w:rsidR="00FF344E" w:rsidRDefault="00FF344E" w:rsidP="00FF344E">
      <w:pPr>
        <w:pStyle w:val="ListParagraph"/>
        <w:numPr>
          <w:ilvl w:val="0"/>
          <w:numId w:val="24"/>
        </w:numPr>
        <w:spacing w:before="100" w:beforeAutospacing="1" w:after="100" w:afterAutospacing="1"/>
        <w:jc w:val="both"/>
        <w:rPr>
          <w:rFonts w:cs="Arial"/>
          <w:szCs w:val="24"/>
          <w:lang w:val="en" w:eastAsia="en-GB"/>
        </w:rPr>
      </w:pPr>
      <w:r>
        <w:rPr>
          <w:rFonts w:cs="Arial"/>
          <w:szCs w:val="24"/>
          <w:lang w:val="en" w:eastAsia="en-GB"/>
        </w:rPr>
        <w:lastRenderedPageBreak/>
        <w:t>Alcohol treatment reflects a return on investment of £3 for every £1 invested, which increases to £26 over 10 years.</w:t>
      </w:r>
    </w:p>
    <w:p w:rsidR="00FF344E" w:rsidRDefault="00FF344E" w:rsidP="00FF344E">
      <w:pPr>
        <w:pStyle w:val="ListParagraph"/>
        <w:numPr>
          <w:ilvl w:val="0"/>
          <w:numId w:val="24"/>
        </w:numPr>
        <w:spacing w:before="100" w:beforeAutospacing="1" w:after="100" w:afterAutospacing="1"/>
        <w:jc w:val="both"/>
        <w:rPr>
          <w:rFonts w:cs="Arial"/>
        </w:rPr>
      </w:pPr>
      <w:r>
        <w:rPr>
          <w:rFonts w:cs="Arial"/>
          <w:szCs w:val="24"/>
          <w:lang w:val="en" w:eastAsia="en-GB"/>
        </w:rPr>
        <w:t>Drug treatment reflects a return on investment of £4 for every £1 invested, which increases to £21 over 10 years</w:t>
      </w:r>
    </w:p>
    <w:p w:rsidR="00FF344E" w:rsidRDefault="007007F0" w:rsidP="00FF344E">
      <w:pPr>
        <w:pStyle w:val="NormalWeb"/>
        <w:spacing w:before="0" w:beforeAutospacing="0" w:after="0"/>
        <w:jc w:val="both"/>
        <w:rPr>
          <w:rFonts w:ascii="Arial" w:hAnsi="Arial" w:cs="Arial"/>
          <w:color w:val="808080" w:themeColor="background1" w:themeShade="80"/>
          <w:sz w:val="16"/>
          <w:szCs w:val="16"/>
          <w:lang w:val="en"/>
        </w:rPr>
      </w:pPr>
      <w:hyperlink r:id="rId21" w:history="1">
        <w:r w:rsidR="00FF344E">
          <w:rPr>
            <w:rStyle w:val="Hyperlink"/>
            <w:rFonts w:ascii="Arial" w:hAnsi="Arial" w:cs="Arial"/>
            <w:color w:val="808080" w:themeColor="background1" w:themeShade="80"/>
            <w:sz w:val="16"/>
            <w:szCs w:val="16"/>
            <w:lang w:val="en"/>
          </w:rPr>
          <w:t>https://www.gov.uk/government/publications/alcohol-and-drug-prevention-treatment-and-recovery-why-invest/alcohol-and-drug-prevention-treatment-and-recovery-why-invest</w:t>
        </w:r>
      </w:hyperlink>
    </w:p>
    <w:p w:rsidR="00FF344E" w:rsidRDefault="00FF344E" w:rsidP="00FF344E">
      <w:pPr>
        <w:pStyle w:val="Heading1"/>
        <w:keepNext/>
      </w:pPr>
    </w:p>
    <w:p w:rsidR="00C32DAE" w:rsidRPr="00612A64" w:rsidRDefault="00C32DAE" w:rsidP="00C32DAE">
      <w:pPr>
        <w:rPr>
          <w:rFonts w:ascii="Times New Roman" w:hAnsi="Times New Roman"/>
          <w:szCs w:val="24"/>
          <w:lang w:val="en-US"/>
        </w:rPr>
      </w:pPr>
      <w:r w:rsidRPr="00612A64">
        <w:rPr>
          <w:rFonts w:ascii="Times New Roman" w:hAnsi="Times New Roman"/>
          <w:szCs w:val="24"/>
          <w:lang w:val="en-US"/>
        </w:rPr>
        <w:t> </w:t>
      </w:r>
    </w:p>
    <w:p w:rsidR="002A2389" w:rsidRDefault="002A2389" w:rsidP="008D1750">
      <w:pPr>
        <w:pStyle w:val="Heading1"/>
        <w:keepNext/>
      </w:pPr>
      <w:r>
        <w:t>Section 3 - Statutory Officer Clearance</w:t>
      </w:r>
      <w:r w:rsidR="00BE1C78">
        <w:t xml:space="preserve"> </w:t>
      </w:r>
      <w:r w:rsidR="001417FD">
        <w:t>(Council and Joint Reports)</w:t>
      </w:r>
    </w:p>
    <w:p w:rsidR="002A2389" w:rsidRDefault="002A2389" w:rsidP="008D1750">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9"/>
        <w:gridCol w:w="356"/>
        <w:gridCol w:w="222"/>
        <w:gridCol w:w="3228"/>
      </w:tblGrid>
      <w:tr w:rsidR="002A2389" w:rsidTr="002461DD">
        <w:tc>
          <w:tcPr>
            <w:tcW w:w="2768" w:type="pct"/>
            <w:tcBorders>
              <w:bottom w:val="nil"/>
              <w:right w:val="nil"/>
            </w:tcBorders>
          </w:tcPr>
          <w:p w:rsidR="002A2389" w:rsidRDefault="002A2389">
            <w:pPr>
              <w:pStyle w:val="Infotext"/>
            </w:pPr>
          </w:p>
          <w:p w:rsidR="002A2389" w:rsidRDefault="002A2389">
            <w:pPr>
              <w:pStyle w:val="Infotext"/>
            </w:pPr>
          </w:p>
        </w:tc>
        <w:tc>
          <w:tcPr>
            <w:tcW w:w="209" w:type="pct"/>
            <w:tcBorders>
              <w:left w:val="nil"/>
              <w:right w:val="nil"/>
            </w:tcBorders>
          </w:tcPr>
          <w:p w:rsidR="002A2389" w:rsidRDefault="002A2389">
            <w:pPr>
              <w:pStyle w:val="Infotext"/>
            </w:pPr>
          </w:p>
        </w:tc>
        <w:tc>
          <w:tcPr>
            <w:tcW w:w="130" w:type="pct"/>
            <w:tcBorders>
              <w:left w:val="nil"/>
              <w:bottom w:val="nil"/>
              <w:right w:val="nil"/>
            </w:tcBorders>
          </w:tcPr>
          <w:p w:rsidR="002A2389" w:rsidRDefault="002A2389">
            <w:pPr>
              <w:pStyle w:val="Infotext"/>
            </w:pPr>
          </w:p>
        </w:tc>
        <w:tc>
          <w:tcPr>
            <w:tcW w:w="1893" w:type="pct"/>
            <w:tcBorders>
              <w:left w:val="nil"/>
              <w:bottom w:val="nil"/>
            </w:tcBorders>
          </w:tcPr>
          <w:p w:rsidR="002A2389" w:rsidRDefault="002A2389">
            <w:pPr>
              <w:pStyle w:val="Infotext"/>
            </w:pPr>
          </w:p>
          <w:p w:rsidR="002A2389" w:rsidRDefault="002A2389" w:rsidP="002461DD">
            <w:pPr>
              <w:pStyle w:val="Infotext"/>
            </w:pPr>
            <w:r>
              <w:t>on behalf of the</w:t>
            </w:r>
          </w:p>
        </w:tc>
      </w:tr>
      <w:tr w:rsidR="002A2389" w:rsidTr="002461DD">
        <w:tc>
          <w:tcPr>
            <w:tcW w:w="2768" w:type="pct"/>
            <w:tcBorders>
              <w:top w:val="nil"/>
              <w:bottom w:val="nil"/>
            </w:tcBorders>
          </w:tcPr>
          <w:p w:rsidR="002A2389" w:rsidRDefault="002A2389" w:rsidP="00C171C8">
            <w:pPr>
              <w:pStyle w:val="Infotext"/>
            </w:pPr>
            <w:r>
              <w:t>Name:</w:t>
            </w:r>
            <w:r w:rsidR="00C171C8">
              <w:t xml:space="preserve">  </w:t>
            </w:r>
            <w:r w:rsidR="00813C03">
              <w:t>Donna Edwards</w:t>
            </w:r>
          </w:p>
        </w:tc>
        <w:tc>
          <w:tcPr>
            <w:tcW w:w="209" w:type="pct"/>
            <w:tcBorders>
              <w:bottom w:val="single" w:sz="4" w:space="0" w:color="auto"/>
            </w:tcBorders>
          </w:tcPr>
          <w:p w:rsidR="002A2389" w:rsidRDefault="002461DD">
            <w:pPr>
              <w:pStyle w:val="Infotext"/>
            </w:pPr>
            <w:r>
              <w:t>x</w:t>
            </w:r>
          </w:p>
        </w:tc>
        <w:tc>
          <w:tcPr>
            <w:tcW w:w="130" w:type="pct"/>
            <w:tcBorders>
              <w:top w:val="nil"/>
              <w:bottom w:val="nil"/>
              <w:right w:val="nil"/>
            </w:tcBorders>
          </w:tcPr>
          <w:p w:rsidR="002A2389" w:rsidRDefault="002A2389">
            <w:pPr>
              <w:pStyle w:val="Infotext"/>
            </w:pPr>
          </w:p>
        </w:tc>
        <w:tc>
          <w:tcPr>
            <w:tcW w:w="1893" w:type="pct"/>
            <w:tcBorders>
              <w:top w:val="nil"/>
              <w:left w:val="nil"/>
              <w:bottom w:val="nil"/>
            </w:tcBorders>
          </w:tcPr>
          <w:p w:rsidR="002A2389" w:rsidRDefault="002A2389">
            <w:pPr>
              <w:pStyle w:val="Infotext"/>
            </w:pPr>
            <w:r>
              <w:t>Chief Financial Officer</w:t>
            </w:r>
          </w:p>
        </w:tc>
      </w:tr>
      <w:tr w:rsidR="002A2389" w:rsidTr="002461DD">
        <w:tc>
          <w:tcPr>
            <w:tcW w:w="2768" w:type="pct"/>
            <w:tcBorders>
              <w:top w:val="nil"/>
              <w:right w:val="nil"/>
            </w:tcBorders>
          </w:tcPr>
          <w:p w:rsidR="002A2389" w:rsidRDefault="002A2389">
            <w:pPr>
              <w:pStyle w:val="Infotext"/>
            </w:pPr>
            <w:r>
              <w:t xml:space="preserve"> </w:t>
            </w:r>
          </w:p>
          <w:p w:rsidR="002A2389" w:rsidRDefault="002A2389" w:rsidP="007007F0">
            <w:pPr>
              <w:pStyle w:val="Infotext"/>
            </w:pPr>
            <w:r>
              <w:t xml:space="preserve">Date: </w:t>
            </w:r>
            <w:r w:rsidR="00C171C8">
              <w:t xml:space="preserve"> </w:t>
            </w:r>
            <w:r w:rsidR="007007F0">
              <w:t>6 June</w:t>
            </w:r>
            <w:r w:rsidR="002461DD">
              <w:t xml:space="preserve"> 2019</w:t>
            </w:r>
          </w:p>
        </w:tc>
        <w:tc>
          <w:tcPr>
            <w:tcW w:w="209" w:type="pct"/>
            <w:tcBorders>
              <w:left w:val="nil"/>
              <w:bottom w:val="single" w:sz="4" w:space="0" w:color="auto"/>
              <w:right w:val="nil"/>
            </w:tcBorders>
          </w:tcPr>
          <w:p w:rsidR="002A2389" w:rsidRDefault="002A2389">
            <w:pPr>
              <w:pStyle w:val="Infotext"/>
            </w:pPr>
          </w:p>
        </w:tc>
        <w:tc>
          <w:tcPr>
            <w:tcW w:w="130" w:type="pct"/>
            <w:tcBorders>
              <w:top w:val="nil"/>
              <w:left w:val="nil"/>
              <w:right w:val="nil"/>
            </w:tcBorders>
          </w:tcPr>
          <w:p w:rsidR="002A2389" w:rsidRDefault="002A2389">
            <w:pPr>
              <w:pStyle w:val="Infotext"/>
            </w:pPr>
          </w:p>
        </w:tc>
        <w:tc>
          <w:tcPr>
            <w:tcW w:w="1893" w:type="pct"/>
            <w:tcBorders>
              <w:top w:val="nil"/>
              <w:left w:val="nil"/>
            </w:tcBorders>
          </w:tcPr>
          <w:p w:rsidR="002A2389" w:rsidRDefault="002A2389">
            <w:pPr>
              <w:pStyle w:val="Infotext"/>
            </w:pPr>
          </w:p>
        </w:tc>
      </w:tr>
    </w:tbl>
    <w:p w:rsidR="002A2389" w:rsidRDefault="002A2389">
      <w:pPr>
        <w:rPr>
          <w:szCs w:val="24"/>
        </w:rPr>
      </w:pPr>
    </w:p>
    <w:p w:rsidR="00A51FAE" w:rsidRDefault="00A51FAE">
      <w:pPr>
        <w:rPr>
          <w:szCs w:val="24"/>
        </w:rPr>
      </w:pPr>
    </w:p>
    <w:p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7"/>
        <w:gridCol w:w="385"/>
        <w:gridCol w:w="234"/>
        <w:gridCol w:w="3599"/>
      </w:tblGrid>
      <w:tr w:rsidR="00080819" w:rsidTr="00FF30F2">
        <w:tc>
          <w:tcPr>
            <w:tcW w:w="4752" w:type="dxa"/>
            <w:tcBorders>
              <w:bottom w:val="nil"/>
              <w:right w:val="nil"/>
            </w:tcBorders>
          </w:tcPr>
          <w:p w:rsidR="00080819" w:rsidRDefault="00080819" w:rsidP="00FF30F2">
            <w:pPr>
              <w:pStyle w:val="Infotext"/>
            </w:pPr>
          </w:p>
          <w:p w:rsidR="00080819" w:rsidRDefault="00080819" w:rsidP="00FF30F2">
            <w:pPr>
              <w:pStyle w:val="Infotext"/>
            </w:pPr>
          </w:p>
        </w:tc>
        <w:tc>
          <w:tcPr>
            <w:tcW w:w="387" w:type="dxa"/>
            <w:tcBorders>
              <w:left w:val="nil"/>
              <w:right w:val="nil"/>
            </w:tcBorders>
          </w:tcPr>
          <w:p w:rsidR="00080819" w:rsidRDefault="00080819" w:rsidP="00FF30F2">
            <w:pPr>
              <w:pStyle w:val="Infotext"/>
            </w:pPr>
          </w:p>
        </w:tc>
        <w:tc>
          <w:tcPr>
            <w:tcW w:w="236" w:type="dxa"/>
            <w:tcBorders>
              <w:left w:val="nil"/>
              <w:bottom w:val="nil"/>
              <w:right w:val="nil"/>
            </w:tcBorders>
          </w:tcPr>
          <w:p w:rsidR="00080819" w:rsidRDefault="00080819" w:rsidP="00FF30F2">
            <w:pPr>
              <w:pStyle w:val="Infotext"/>
            </w:pPr>
          </w:p>
        </w:tc>
        <w:tc>
          <w:tcPr>
            <w:tcW w:w="3890" w:type="dxa"/>
            <w:tcBorders>
              <w:left w:val="nil"/>
              <w:bottom w:val="nil"/>
            </w:tcBorders>
          </w:tcPr>
          <w:p w:rsidR="00080819" w:rsidRDefault="00080819" w:rsidP="00FF30F2">
            <w:pPr>
              <w:pStyle w:val="Infotext"/>
            </w:pPr>
          </w:p>
          <w:p w:rsidR="00080819" w:rsidRDefault="00080819" w:rsidP="00FF30F2">
            <w:pPr>
              <w:pStyle w:val="Infotext"/>
            </w:pPr>
          </w:p>
        </w:tc>
      </w:tr>
      <w:tr w:rsidR="00080819" w:rsidTr="00FF30F2">
        <w:tc>
          <w:tcPr>
            <w:tcW w:w="4752" w:type="dxa"/>
            <w:tcBorders>
              <w:top w:val="nil"/>
              <w:bottom w:val="nil"/>
            </w:tcBorders>
          </w:tcPr>
          <w:p w:rsidR="00080819" w:rsidRDefault="00080819" w:rsidP="00C171C8">
            <w:pPr>
              <w:pStyle w:val="Infotext"/>
            </w:pPr>
            <w:r>
              <w:t xml:space="preserve">Name: </w:t>
            </w:r>
            <w:r w:rsidR="00C171C8">
              <w:t xml:space="preserve"> </w:t>
            </w:r>
            <w:r w:rsidR="00813C03">
              <w:t>Paul Hewitt</w:t>
            </w:r>
          </w:p>
        </w:tc>
        <w:tc>
          <w:tcPr>
            <w:tcW w:w="387" w:type="dxa"/>
            <w:tcBorders>
              <w:bottom w:val="single" w:sz="4" w:space="0" w:color="auto"/>
            </w:tcBorders>
          </w:tcPr>
          <w:p w:rsidR="00080819" w:rsidRDefault="00813C03" w:rsidP="00FF30F2">
            <w:pPr>
              <w:pStyle w:val="Infotext"/>
            </w:pPr>
            <w:r>
              <w:rPr>
                <w:rFonts w:cs="Arial"/>
              </w:rPr>
              <w:t>√</w:t>
            </w:r>
          </w:p>
        </w:tc>
        <w:tc>
          <w:tcPr>
            <w:tcW w:w="236" w:type="dxa"/>
            <w:tcBorders>
              <w:top w:val="nil"/>
              <w:bottom w:val="nil"/>
              <w:right w:val="nil"/>
            </w:tcBorders>
          </w:tcPr>
          <w:p w:rsidR="00080819" w:rsidRDefault="00080819" w:rsidP="00FF30F2">
            <w:pPr>
              <w:pStyle w:val="Infotext"/>
            </w:pPr>
          </w:p>
        </w:tc>
        <w:tc>
          <w:tcPr>
            <w:tcW w:w="3890" w:type="dxa"/>
            <w:tcBorders>
              <w:top w:val="nil"/>
              <w:left w:val="nil"/>
              <w:bottom w:val="nil"/>
            </w:tcBorders>
          </w:tcPr>
          <w:p w:rsidR="00080819" w:rsidRDefault="00080819" w:rsidP="00FF30F2">
            <w:pPr>
              <w:pStyle w:val="Infotext"/>
            </w:pPr>
            <w:r>
              <w:t>Corporate Director</w:t>
            </w:r>
          </w:p>
        </w:tc>
      </w:tr>
      <w:tr w:rsidR="00080819" w:rsidTr="00FF30F2">
        <w:tc>
          <w:tcPr>
            <w:tcW w:w="4752" w:type="dxa"/>
            <w:tcBorders>
              <w:top w:val="nil"/>
              <w:right w:val="nil"/>
            </w:tcBorders>
          </w:tcPr>
          <w:p w:rsidR="00080819" w:rsidRDefault="00080819" w:rsidP="00FF30F2">
            <w:pPr>
              <w:pStyle w:val="Infotext"/>
            </w:pPr>
            <w:r>
              <w:t xml:space="preserve"> </w:t>
            </w:r>
          </w:p>
          <w:p w:rsidR="00080819" w:rsidRDefault="00080819" w:rsidP="007007F0">
            <w:pPr>
              <w:pStyle w:val="Infotext"/>
            </w:pPr>
            <w:r>
              <w:t xml:space="preserve">Date: </w:t>
            </w:r>
            <w:r w:rsidR="00C171C8">
              <w:t xml:space="preserve"> </w:t>
            </w:r>
            <w:r w:rsidR="00813C03">
              <w:t>11</w:t>
            </w:r>
            <w:r w:rsidR="007007F0">
              <w:t xml:space="preserve"> June </w:t>
            </w:r>
            <w:r w:rsidR="00813C03">
              <w:t>2019</w:t>
            </w:r>
          </w:p>
        </w:tc>
        <w:tc>
          <w:tcPr>
            <w:tcW w:w="387" w:type="dxa"/>
            <w:tcBorders>
              <w:left w:val="nil"/>
              <w:bottom w:val="single" w:sz="4" w:space="0" w:color="auto"/>
              <w:right w:val="nil"/>
            </w:tcBorders>
          </w:tcPr>
          <w:p w:rsidR="00080819" w:rsidRDefault="00080819" w:rsidP="00FF30F2">
            <w:pPr>
              <w:pStyle w:val="Infotext"/>
            </w:pPr>
          </w:p>
        </w:tc>
        <w:tc>
          <w:tcPr>
            <w:tcW w:w="236" w:type="dxa"/>
            <w:tcBorders>
              <w:top w:val="nil"/>
              <w:left w:val="nil"/>
              <w:right w:val="nil"/>
            </w:tcBorders>
          </w:tcPr>
          <w:p w:rsidR="00080819" w:rsidRDefault="00080819" w:rsidP="00FF30F2">
            <w:pPr>
              <w:pStyle w:val="Infotext"/>
            </w:pPr>
          </w:p>
        </w:tc>
        <w:tc>
          <w:tcPr>
            <w:tcW w:w="3890" w:type="dxa"/>
            <w:tcBorders>
              <w:top w:val="nil"/>
              <w:left w:val="nil"/>
            </w:tcBorders>
          </w:tcPr>
          <w:p w:rsidR="00080819" w:rsidRDefault="00080819" w:rsidP="00FF30F2">
            <w:pPr>
              <w:pStyle w:val="Infotext"/>
            </w:pPr>
          </w:p>
        </w:tc>
      </w:tr>
    </w:tbl>
    <w:p w:rsidR="00080819" w:rsidRDefault="00080819">
      <w:pPr>
        <w:rPr>
          <w:szCs w:val="24"/>
        </w:rPr>
      </w:pPr>
    </w:p>
    <w:p w:rsidR="00080819" w:rsidRDefault="00080819">
      <w:pPr>
        <w:rPr>
          <w:szCs w:val="24"/>
        </w:rPr>
      </w:pPr>
    </w:p>
    <w:p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A51FAE">
        <w:trPr>
          <w:trHeight w:val="965"/>
        </w:trPr>
        <w:tc>
          <w:tcPr>
            <w:tcW w:w="3025" w:type="pct"/>
            <w:tcBorders>
              <w:right w:val="nil"/>
            </w:tcBorders>
          </w:tcPr>
          <w:p w:rsidR="00A51FAE" w:rsidRDefault="00A51FAE" w:rsidP="004213D7">
            <w:pPr>
              <w:pStyle w:val="Infotext"/>
              <w:rPr>
                <w:rFonts w:ascii="Arial Black" w:hAnsi="Arial Black"/>
              </w:rPr>
            </w:pPr>
          </w:p>
          <w:p w:rsidR="00A51FAE" w:rsidRDefault="00A51FAE" w:rsidP="004213D7">
            <w:pPr>
              <w:pStyle w:val="Infotext"/>
              <w:rPr>
                <w:rFonts w:ascii="Arial Black" w:hAnsi="Arial Black"/>
              </w:rPr>
            </w:pPr>
            <w:r>
              <w:rPr>
                <w:rFonts w:ascii="Arial Black" w:hAnsi="Arial Black"/>
              </w:rPr>
              <w:t>Ward Councillors notified:</w:t>
            </w:r>
          </w:p>
          <w:p w:rsidR="00A51FAE" w:rsidRPr="00A50388" w:rsidRDefault="00A51FAE" w:rsidP="004213D7">
            <w:pPr>
              <w:pStyle w:val="Infotext"/>
              <w:rPr>
                <w:b/>
                <w:color w:val="FF0000"/>
              </w:rPr>
            </w:pPr>
            <w:bookmarkStart w:id="0" w:name="_GoBack"/>
            <w:bookmarkEnd w:id="0"/>
          </w:p>
        </w:tc>
        <w:tc>
          <w:tcPr>
            <w:tcW w:w="1975" w:type="pct"/>
            <w:tcBorders>
              <w:left w:val="nil"/>
            </w:tcBorders>
          </w:tcPr>
          <w:p w:rsidR="00A51FAE" w:rsidRDefault="00A51FAE" w:rsidP="004213D7">
            <w:pPr>
              <w:pStyle w:val="Infotext"/>
            </w:pPr>
          </w:p>
          <w:p w:rsidR="00813C03" w:rsidRDefault="00A51FAE" w:rsidP="00813C03">
            <w:pPr>
              <w:pStyle w:val="Infotext"/>
              <w:spacing w:before="120"/>
              <w:rPr>
                <w:b/>
              </w:rPr>
            </w:pPr>
            <w:r w:rsidRPr="00A406F3">
              <w:rPr>
                <w:b/>
              </w:rPr>
              <w:t xml:space="preserve">NO </w:t>
            </w:r>
          </w:p>
          <w:p w:rsidR="00A51FAE" w:rsidRPr="003D78F6" w:rsidRDefault="00813C03" w:rsidP="00813C03">
            <w:pPr>
              <w:pStyle w:val="Infotext"/>
              <w:spacing w:before="120"/>
              <w:rPr>
                <w:i/>
                <w:sz w:val="24"/>
                <w:szCs w:val="24"/>
              </w:rPr>
            </w:pPr>
            <w:r w:rsidRPr="00813C03">
              <w:rPr>
                <w:szCs w:val="28"/>
              </w:rPr>
              <w:t xml:space="preserve">This </w:t>
            </w:r>
            <w:r>
              <w:rPr>
                <w:szCs w:val="28"/>
              </w:rPr>
              <w:t>is a Harrow wide Service</w:t>
            </w:r>
          </w:p>
        </w:tc>
      </w:tr>
    </w:tbl>
    <w:p w:rsidR="00A51FAE" w:rsidRPr="00A51FAE" w:rsidRDefault="00A51FAE">
      <w:pPr>
        <w:rPr>
          <w:szCs w:val="24"/>
        </w:rPr>
      </w:pPr>
    </w:p>
    <w:p w:rsidR="00EE0325" w:rsidRPr="00A51FAE" w:rsidRDefault="00EE0325" w:rsidP="008D1750">
      <w:pPr>
        <w:pStyle w:val="Heading1"/>
        <w:keepNext/>
        <w:rPr>
          <w:rFonts w:ascii="Arial" w:hAnsi="Arial"/>
          <w:sz w:val="24"/>
          <w:szCs w:val="24"/>
        </w:rPr>
      </w:pPr>
    </w:p>
    <w:p w:rsidR="00A51FAE" w:rsidRPr="00A51FAE" w:rsidRDefault="00A51FAE" w:rsidP="00A51FAE">
      <w:pPr>
        <w:rPr>
          <w:szCs w:val="24"/>
        </w:rPr>
      </w:pPr>
    </w:p>
    <w:p w:rsidR="002A2389" w:rsidRDefault="002A2389" w:rsidP="008D1750">
      <w:pPr>
        <w:pStyle w:val="Heading1"/>
        <w:keepNext/>
      </w:pPr>
      <w:r>
        <w:t>Section 4 - Contact Details and Background Papers</w:t>
      </w:r>
    </w:p>
    <w:p w:rsidR="002A2389" w:rsidRDefault="002A2389" w:rsidP="008D1750">
      <w:pPr>
        <w:keepNext/>
        <w:rPr>
          <w:rFonts w:cs="Arial"/>
        </w:rPr>
      </w:pPr>
    </w:p>
    <w:p w:rsidR="002A2389" w:rsidRDefault="002A2389"/>
    <w:p w:rsidR="0028146E" w:rsidRPr="0028146E" w:rsidRDefault="002A2389">
      <w:pPr>
        <w:pStyle w:val="Infotext"/>
        <w:rPr>
          <w:sz w:val="24"/>
          <w:szCs w:val="24"/>
        </w:rPr>
      </w:pPr>
      <w:r w:rsidRPr="00D914D2">
        <w:rPr>
          <w:b/>
        </w:rPr>
        <w:t>Contact:</w:t>
      </w:r>
      <w:r>
        <w:t xml:space="preserve">  </w:t>
      </w:r>
      <w:r w:rsidR="0028146E">
        <w:tab/>
      </w:r>
      <w:r w:rsidR="0028146E" w:rsidRPr="0028146E">
        <w:rPr>
          <w:sz w:val="24"/>
          <w:szCs w:val="24"/>
        </w:rPr>
        <w:t>Bridget O’Dwyer</w:t>
      </w:r>
    </w:p>
    <w:p w:rsidR="0028146E" w:rsidRPr="0028146E" w:rsidRDefault="0028146E" w:rsidP="0028146E">
      <w:pPr>
        <w:pStyle w:val="Infotext"/>
        <w:ind w:left="720" w:firstLine="720"/>
        <w:rPr>
          <w:sz w:val="24"/>
          <w:szCs w:val="24"/>
        </w:rPr>
      </w:pPr>
      <w:r w:rsidRPr="0028146E">
        <w:rPr>
          <w:sz w:val="24"/>
          <w:szCs w:val="24"/>
        </w:rPr>
        <w:t>Senior Commissioning Manager</w:t>
      </w:r>
    </w:p>
    <w:p w:rsidR="0028146E" w:rsidRPr="0028146E" w:rsidRDefault="0028146E" w:rsidP="0028146E">
      <w:pPr>
        <w:pStyle w:val="Infotext"/>
        <w:ind w:left="720" w:firstLine="720"/>
        <w:rPr>
          <w:sz w:val="24"/>
          <w:szCs w:val="24"/>
        </w:rPr>
      </w:pPr>
      <w:r w:rsidRPr="0028146E">
        <w:rPr>
          <w:sz w:val="24"/>
          <w:szCs w:val="24"/>
        </w:rPr>
        <w:t xml:space="preserve">Harrow substance Misuse Service / Harrow Integrated </w:t>
      </w:r>
    </w:p>
    <w:p w:rsidR="0028146E" w:rsidRPr="0028146E" w:rsidRDefault="0028146E" w:rsidP="0028146E">
      <w:pPr>
        <w:pStyle w:val="Infotext"/>
        <w:ind w:left="720" w:firstLine="720"/>
        <w:rPr>
          <w:sz w:val="24"/>
          <w:szCs w:val="24"/>
        </w:rPr>
      </w:pPr>
      <w:r w:rsidRPr="0028146E">
        <w:rPr>
          <w:sz w:val="24"/>
          <w:szCs w:val="24"/>
        </w:rPr>
        <w:t xml:space="preserve">Sexual and Reproductive Health Service </w:t>
      </w:r>
    </w:p>
    <w:p w:rsidR="0028146E" w:rsidRPr="0028146E" w:rsidRDefault="0028146E" w:rsidP="0028146E">
      <w:pPr>
        <w:pStyle w:val="Infotext"/>
        <w:rPr>
          <w:sz w:val="24"/>
          <w:szCs w:val="24"/>
        </w:rPr>
      </w:pPr>
    </w:p>
    <w:p w:rsidR="002A2389" w:rsidRPr="0028146E" w:rsidRDefault="0028146E" w:rsidP="0028146E">
      <w:pPr>
        <w:pStyle w:val="Infotext"/>
        <w:ind w:left="720" w:firstLine="720"/>
        <w:rPr>
          <w:sz w:val="24"/>
          <w:szCs w:val="24"/>
        </w:rPr>
      </w:pPr>
      <w:r w:rsidRPr="0028146E">
        <w:rPr>
          <w:rFonts w:cs="Arial"/>
          <w:sz w:val="24"/>
          <w:szCs w:val="24"/>
        </w:rPr>
        <w:t xml:space="preserve">Tel: </w:t>
      </w:r>
      <w:r w:rsidRPr="0028146E">
        <w:rPr>
          <w:sz w:val="24"/>
          <w:szCs w:val="24"/>
        </w:rPr>
        <w:t>020 8420 9532</w:t>
      </w:r>
      <w:r w:rsidRPr="0028146E">
        <w:rPr>
          <w:rFonts w:cs="Arial"/>
          <w:sz w:val="24"/>
          <w:szCs w:val="24"/>
        </w:rPr>
        <w:t xml:space="preserve"> </w:t>
      </w:r>
    </w:p>
    <w:p w:rsidR="002A2389" w:rsidRDefault="002A2389"/>
    <w:p w:rsidR="002A2389" w:rsidRDefault="002A2389"/>
    <w:p w:rsidR="0028146E" w:rsidRDefault="002A2389">
      <w:pPr>
        <w:pStyle w:val="Infotext"/>
      </w:pPr>
      <w:r w:rsidRPr="00D914D2">
        <w:rPr>
          <w:b/>
        </w:rPr>
        <w:t>Background Papers</w:t>
      </w:r>
      <w:r>
        <w:t xml:space="preserve">: </w:t>
      </w:r>
    </w:p>
    <w:p w:rsidR="0028146E" w:rsidRDefault="0028146E">
      <w:pPr>
        <w:pStyle w:val="Infotext"/>
      </w:pPr>
    </w:p>
    <w:p w:rsidR="002A2389" w:rsidRDefault="0028146E">
      <w:r>
        <w:t>Appendix A:  Equalities Impact Assessment</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F2" w:rsidRDefault="00FF30F2">
      <w:r>
        <w:separator/>
      </w:r>
    </w:p>
  </w:endnote>
  <w:endnote w:type="continuationSeparator" w:id="0">
    <w:p w:rsidR="00FF30F2" w:rsidRDefault="00FF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BA" w:rsidRDefault="00C065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BA" w:rsidRDefault="00C065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BA" w:rsidRDefault="00C06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F2" w:rsidRDefault="00FF30F2">
      <w:r>
        <w:separator/>
      </w:r>
    </w:p>
  </w:footnote>
  <w:footnote w:type="continuationSeparator" w:id="0">
    <w:p w:rsidR="00FF30F2" w:rsidRDefault="00FF3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BA" w:rsidRDefault="00C065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BA" w:rsidRDefault="00C06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BA" w:rsidRDefault="00C06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2617352"/>
    <w:multiLevelType w:val="hybridMultilevel"/>
    <w:tmpl w:val="D4CE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954204"/>
    <w:multiLevelType w:val="multilevel"/>
    <w:tmpl w:val="454CE118"/>
    <w:lvl w:ilvl="0">
      <w:start w:val="1"/>
      <w:numFmt w:val="decimal"/>
      <w:pStyle w:val="ERParanumbering"/>
      <w:lvlText w:val="%1."/>
      <w:lvlJc w:val="left"/>
      <w:pPr>
        <w:tabs>
          <w:tab w:val="num" w:pos="360"/>
        </w:tabs>
        <w:ind w:left="360" w:hanging="360"/>
      </w:pPr>
      <w:rPr>
        <w:rFonts w:cs="Times New Roman"/>
      </w:rPr>
    </w:lvl>
    <w:lvl w:ilvl="1">
      <w:start w:val="1"/>
      <w:numFmt w:val="decimal"/>
      <w:pStyle w:val="ParagraphNumbering"/>
      <w:lvlText w:val="%1.%2."/>
      <w:lvlJc w:val="left"/>
      <w:pPr>
        <w:tabs>
          <w:tab w:val="num" w:pos="792"/>
        </w:tabs>
        <w:ind w:left="792" w:hanging="79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A57B0D"/>
    <w:multiLevelType w:val="hybridMultilevel"/>
    <w:tmpl w:val="DB200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403865"/>
    <w:multiLevelType w:val="hybridMultilevel"/>
    <w:tmpl w:val="7846B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DC1EB7"/>
    <w:multiLevelType w:val="multilevel"/>
    <w:tmpl w:val="6AAE1C4E"/>
    <w:lvl w:ilvl="0">
      <w:start w:val="1"/>
      <w:numFmt w:val="decimal"/>
      <w:lvlText w:val="%1."/>
      <w:lvlJc w:val="left"/>
      <w:pPr>
        <w:ind w:left="720" w:hanging="360"/>
      </w:pPr>
    </w:lvl>
    <w:lvl w:ilvl="1">
      <w:start w:val="1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nsid w:val="1ED051DD"/>
    <w:multiLevelType w:val="hybridMultilevel"/>
    <w:tmpl w:val="7E32E6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28E21CD1"/>
    <w:multiLevelType w:val="hybridMultilevel"/>
    <w:tmpl w:val="6D5E2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1172FC"/>
    <w:multiLevelType w:val="hybridMultilevel"/>
    <w:tmpl w:val="2F0ADE78"/>
    <w:lvl w:ilvl="0" w:tplc="0490830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3BD6450C"/>
    <w:multiLevelType w:val="hybridMultilevel"/>
    <w:tmpl w:val="62CA7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6">
    <w:nsid w:val="465A32A9"/>
    <w:multiLevelType w:val="hybridMultilevel"/>
    <w:tmpl w:val="5FB41314"/>
    <w:lvl w:ilvl="0" w:tplc="63788B2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8A1D19"/>
    <w:multiLevelType w:val="hybridMultilevel"/>
    <w:tmpl w:val="F22E9952"/>
    <w:lvl w:ilvl="0" w:tplc="D0669820">
      <w:start w:val="1"/>
      <w:numFmt w:val="bullet"/>
      <w:lvlText w:val=""/>
      <w:lvlJc w:val="left"/>
      <w:pPr>
        <w:ind w:left="1080" w:hanging="360"/>
      </w:pPr>
      <w:rPr>
        <w:rFonts w:ascii="Symbol" w:hAnsi="Symbol" w:hint="default"/>
        <w:color w:val="auto"/>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501A60"/>
    <w:multiLevelType w:val="hybridMultilevel"/>
    <w:tmpl w:val="29061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3952D3"/>
    <w:multiLevelType w:val="hybridMultilevel"/>
    <w:tmpl w:val="53A66F0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3">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AF4AB9"/>
    <w:multiLevelType w:val="hybridMultilevel"/>
    <w:tmpl w:val="C4D23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0856241"/>
    <w:multiLevelType w:val="hybridMultilevel"/>
    <w:tmpl w:val="5D8893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3"/>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5"/>
  </w:num>
  <w:num w:numId="8">
    <w:abstractNumId w:val="6"/>
  </w:num>
  <w:num w:numId="9">
    <w:abstractNumId w:val="21"/>
  </w:num>
  <w:num w:numId="10">
    <w:abstractNumId w:val="27"/>
  </w:num>
  <w:num w:numId="11">
    <w:abstractNumId w:val="19"/>
  </w:num>
  <w:num w:numId="12">
    <w:abstractNumId w:val="4"/>
  </w:num>
  <w:num w:numId="13">
    <w:abstractNumId w:val="11"/>
  </w:num>
  <w:num w:numId="14">
    <w:abstractNumId w:val="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8"/>
  </w:num>
  <w:num w:numId="17">
    <w:abstractNumId w:val="13"/>
  </w:num>
  <w:num w:numId="18">
    <w:abstractNumId w:val="22"/>
  </w:num>
  <w:num w:numId="19">
    <w:abstractNumId w:val="25"/>
  </w:num>
  <w:num w:numId="20">
    <w:abstractNumId w:val="10"/>
  </w:num>
  <w:num w:numId="21">
    <w:abstractNumId w:val="16"/>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4"/>
  </w:num>
  <w:num w:numId="25">
    <w:abstractNumId w:val="0"/>
  </w:num>
  <w:num w:numId="26">
    <w:abstractNumId w:val="9"/>
  </w:num>
  <w:num w:numId="27">
    <w:abstractNumId w:val="1"/>
  </w:num>
  <w:num w:numId="28">
    <w:abstractNumId w:val="2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110EA"/>
    <w:rsid w:val="00057F10"/>
    <w:rsid w:val="00071EB4"/>
    <w:rsid w:val="00077298"/>
    <w:rsid w:val="00080819"/>
    <w:rsid w:val="000A24AE"/>
    <w:rsid w:val="000B6DBB"/>
    <w:rsid w:val="000D2BF2"/>
    <w:rsid w:val="000E6DF4"/>
    <w:rsid w:val="000F65C0"/>
    <w:rsid w:val="00122491"/>
    <w:rsid w:val="001417FD"/>
    <w:rsid w:val="001939BA"/>
    <w:rsid w:val="001C5225"/>
    <w:rsid w:val="001E0219"/>
    <w:rsid w:val="001F341E"/>
    <w:rsid w:val="00231A1D"/>
    <w:rsid w:val="002461DD"/>
    <w:rsid w:val="0028146E"/>
    <w:rsid w:val="00296F20"/>
    <w:rsid w:val="002A2389"/>
    <w:rsid w:val="002C08E2"/>
    <w:rsid w:val="002C1794"/>
    <w:rsid w:val="002E77E3"/>
    <w:rsid w:val="003115B3"/>
    <w:rsid w:val="003B6B15"/>
    <w:rsid w:val="003C0B16"/>
    <w:rsid w:val="004001D6"/>
    <w:rsid w:val="004213D7"/>
    <w:rsid w:val="0042394B"/>
    <w:rsid w:val="00436429"/>
    <w:rsid w:val="0044574D"/>
    <w:rsid w:val="0046670F"/>
    <w:rsid w:val="00473B08"/>
    <w:rsid w:val="00474B5F"/>
    <w:rsid w:val="004B2C9D"/>
    <w:rsid w:val="004C2D29"/>
    <w:rsid w:val="004D5D86"/>
    <w:rsid w:val="004E667D"/>
    <w:rsid w:val="004E6AF9"/>
    <w:rsid w:val="00513FB9"/>
    <w:rsid w:val="005861B4"/>
    <w:rsid w:val="005874F0"/>
    <w:rsid w:val="005D4ADF"/>
    <w:rsid w:val="005E384D"/>
    <w:rsid w:val="005F2181"/>
    <w:rsid w:val="005F724B"/>
    <w:rsid w:val="0063072B"/>
    <w:rsid w:val="006465F6"/>
    <w:rsid w:val="00662891"/>
    <w:rsid w:val="00675FCB"/>
    <w:rsid w:val="006C3914"/>
    <w:rsid w:val="006D2C51"/>
    <w:rsid w:val="007007F0"/>
    <w:rsid w:val="0074184E"/>
    <w:rsid w:val="00755F8D"/>
    <w:rsid w:val="007664EC"/>
    <w:rsid w:val="00796503"/>
    <w:rsid w:val="007D56C8"/>
    <w:rsid w:val="007E7303"/>
    <w:rsid w:val="007F7B2F"/>
    <w:rsid w:val="00803162"/>
    <w:rsid w:val="008136B1"/>
    <w:rsid w:val="00813C03"/>
    <w:rsid w:val="008D1750"/>
    <w:rsid w:val="008E4913"/>
    <w:rsid w:val="008F4594"/>
    <w:rsid w:val="00900464"/>
    <w:rsid w:val="0090100E"/>
    <w:rsid w:val="0093767E"/>
    <w:rsid w:val="00972A02"/>
    <w:rsid w:val="0099517C"/>
    <w:rsid w:val="009B2ECD"/>
    <w:rsid w:val="009B7914"/>
    <w:rsid w:val="00A50388"/>
    <w:rsid w:val="00A51FAE"/>
    <w:rsid w:val="00A566E7"/>
    <w:rsid w:val="00A613C1"/>
    <w:rsid w:val="00A76A21"/>
    <w:rsid w:val="00A940D3"/>
    <w:rsid w:val="00A96FCA"/>
    <w:rsid w:val="00AA4BE8"/>
    <w:rsid w:val="00AC7BA9"/>
    <w:rsid w:val="00AD4D0E"/>
    <w:rsid w:val="00B0425E"/>
    <w:rsid w:val="00B10320"/>
    <w:rsid w:val="00B92AA6"/>
    <w:rsid w:val="00B9498A"/>
    <w:rsid w:val="00BD684A"/>
    <w:rsid w:val="00BE1C78"/>
    <w:rsid w:val="00BF6C06"/>
    <w:rsid w:val="00C065BA"/>
    <w:rsid w:val="00C171C8"/>
    <w:rsid w:val="00C32DAE"/>
    <w:rsid w:val="00C40E24"/>
    <w:rsid w:val="00C82CEC"/>
    <w:rsid w:val="00C96EF5"/>
    <w:rsid w:val="00D32B51"/>
    <w:rsid w:val="00D34145"/>
    <w:rsid w:val="00D34668"/>
    <w:rsid w:val="00D3740E"/>
    <w:rsid w:val="00D82F57"/>
    <w:rsid w:val="00D841A5"/>
    <w:rsid w:val="00D914D2"/>
    <w:rsid w:val="00DA25DB"/>
    <w:rsid w:val="00DB39E5"/>
    <w:rsid w:val="00DD4251"/>
    <w:rsid w:val="00DF48BB"/>
    <w:rsid w:val="00E02B50"/>
    <w:rsid w:val="00E03F11"/>
    <w:rsid w:val="00E06DC8"/>
    <w:rsid w:val="00E220B5"/>
    <w:rsid w:val="00EA6242"/>
    <w:rsid w:val="00EE0325"/>
    <w:rsid w:val="00F27A9C"/>
    <w:rsid w:val="00F37C8A"/>
    <w:rsid w:val="00F4213B"/>
    <w:rsid w:val="00F66DED"/>
    <w:rsid w:val="00F849ED"/>
    <w:rsid w:val="00F87658"/>
    <w:rsid w:val="00F92398"/>
    <w:rsid w:val="00FD31A0"/>
    <w:rsid w:val="00FF30F2"/>
    <w:rsid w:val="00FF344E"/>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link w:val="Heading1Char"/>
    <w:qFormat/>
    <w:rsid w:val="00F92398"/>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link w:val="Heading4Char"/>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character" w:customStyle="1" w:styleId="Heading2Char">
    <w:name w:val="Heading 2 Char"/>
    <w:basedOn w:val="DefaultParagraphFont"/>
    <w:link w:val="Heading2"/>
    <w:rsid w:val="00C065BA"/>
    <w:rPr>
      <w:rFonts w:ascii="Arial" w:hAnsi="Arial" w:cs="Arial"/>
      <w:b/>
      <w:bCs/>
      <w:sz w:val="28"/>
      <w:szCs w:val="32"/>
      <w:lang w:eastAsia="en-US"/>
    </w:rPr>
  </w:style>
  <w:style w:type="paragraph" w:styleId="ListBullet">
    <w:name w:val="List Bullet"/>
    <w:basedOn w:val="List"/>
    <w:autoRedefine/>
    <w:unhideWhenUsed/>
    <w:rsid w:val="007664EC"/>
    <w:pPr>
      <w:spacing w:after="240"/>
      <w:ind w:left="0" w:firstLine="0"/>
      <w:contextualSpacing w:val="0"/>
      <w:jc w:val="both"/>
    </w:pPr>
    <w:rPr>
      <w:rFonts w:cs="Arial"/>
      <w:szCs w:val="24"/>
      <w:lang w:val="en-US" w:eastAsia="en-GB"/>
    </w:rPr>
  </w:style>
  <w:style w:type="paragraph" w:customStyle="1" w:styleId="Default">
    <w:name w:val="Default"/>
    <w:rsid w:val="007664EC"/>
    <w:pPr>
      <w:autoSpaceDE w:val="0"/>
      <w:autoSpaceDN w:val="0"/>
      <w:adjustRightInd w:val="0"/>
    </w:pPr>
    <w:rPr>
      <w:rFonts w:ascii="Arial" w:hAnsi="Arial" w:cs="Arial"/>
      <w:color w:val="000000"/>
      <w:sz w:val="24"/>
      <w:szCs w:val="24"/>
    </w:rPr>
  </w:style>
  <w:style w:type="table" w:styleId="TableGrid">
    <w:name w:val="Table Grid"/>
    <w:basedOn w:val="TableNormal"/>
    <w:rsid w:val="007664E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7664EC"/>
    <w:pPr>
      <w:ind w:left="283" w:hanging="283"/>
      <w:contextualSpacing/>
    </w:pPr>
  </w:style>
  <w:style w:type="character" w:customStyle="1" w:styleId="Heading4Char">
    <w:name w:val="Heading 4 Char"/>
    <w:basedOn w:val="DefaultParagraphFont"/>
    <w:link w:val="Heading4"/>
    <w:rsid w:val="007664EC"/>
    <w:rPr>
      <w:rFonts w:ascii="Arial" w:hAnsi="Arial" w:cs="Arial"/>
      <w:b/>
      <w:sz w:val="24"/>
      <w:lang w:eastAsia="en-US"/>
    </w:rPr>
  </w:style>
  <w:style w:type="character" w:styleId="Emphasis">
    <w:name w:val="Emphasis"/>
    <w:basedOn w:val="DefaultParagraphFont"/>
    <w:uiPriority w:val="20"/>
    <w:qFormat/>
    <w:rsid w:val="007664EC"/>
    <w:rPr>
      <w:b/>
      <w:bCs/>
      <w:i w:val="0"/>
      <w:iCs w:val="0"/>
    </w:rPr>
  </w:style>
  <w:style w:type="character" w:customStyle="1" w:styleId="st1">
    <w:name w:val="st1"/>
    <w:basedOn w:val="DefaultParagraphFont"/>
    <w:rsid w:val="007664EC"/>
  </w:style>
  <w:style w:type="paragraph" w:customStyle="1" w:styleId="ParagraphNumbering">
    <w:name w:val="Paragraph Numbering"/>
    <w:basedOn w:val="Normal"/>
    <w:rsid w:val="004001D6"/>
    <w:pPr>
      <w:keepNext/>
      <w:numPr>
        <w:ilvl w:val="1"/>
        <w:numId w:val="22"/>
      </w:numPr>
      <w:spacing w:before="240" w:after="120"/>
    </w:pPr>
    <w:rPr>
      <w:rFonts w:eastAsiaTheme="minorHAnsi" w:cs="Arial"/>
      <w:sz w:val="22"/>
      <w:szCs w:val="22"/>
      <w:lang w:eastAsia="en-GB"/>
    </w:rPr>
  </w:style>
  <w:style w:type="paragraph" w:customStyle="1" w:styleId="ERParanumbering">
    <w:name w:val="ER Para numbering"/>
    <w:basedOn w:val="Normal"/>
    <w:rsid w:val="004001D6"/>
    <w:pPr>
      <w:keepNext/>
      <w:numPr>
        <w:numId w:val="22"/>
      </w:numPr>
      <w:spacing w:before="240" w:after="120"/>
    </w:pPr>
    <w:rPr>
      <w:rFonts w:eastAsiaTheme="minorHAnsi" w:cs="Arial"/>
      <w:sz w:val="22"/>
      <w:szCs w:val="22"/>
      <w:lang w:eastAsia="en-GB"/>
    </w:rPr>
  </w:style>
  <w:style w:type="character" w:customStyle="1" w:styleId="Heading1Char">
    <w:name w:val="Heading 1 Char"/>
    <w:basedOn w:val="DefaultParagraphFont"/>
    <w:link w:val="Heading1"/>
    <w:rsid w:val="00FF344E"/>
    <w:rPr>
      <w:rFonts w:ascii="Arial Black" w:hAnsi="Arial Black" w:cs="Arial"/>
      <w:bCs/>
      <w:sz w:val="32"/>
      <w:szCs w:val="32"/>
      <w:lang w:eastAsia="en-US"/>
    </w:rPr>
  </w:style>
  <w:style w:type="paragraph" w:styleId="NormalWeb">
    <w:name w:val="Normal (Web)"/>
    <w:basedOn w:val="Normal"/>
    <w:unhideWhenUsed/>
    <w:rsid w:val="00FF344E"/>
    <w:pPr>
      <w:spacing w:before="100" w:beforeAutospacing="1" w:after="300"/>
    </w:pPr>
    <w:rPr>
      <w:rFonts w:ascii="Times New Roman" w:eastAsia="Calibri" w:hAnsi="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link w:val="Heading1Char"/>
    <w:qFormat/>
    <w:rsid w:val="00F92398"/>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link w:val="Heading4Char"/>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character" w:customStyle="1" w:styleId="Heading2Char">
    <w:name w:val="Heading 2 Char"/>
    <w:basedOn w:val="DefaultParagraphFont"/>
    <w:link w:val="Heading2"/>
    <w:rsid w:val="00C065BA"/>
    <w:rPr>
      <w:rFonts w:ascii="Arial" w:hAnsi="Arial" w:cs="Arial"/>
      <w:b/>
      <w:bCs/>
      <w:sz w:val="28"/>
      <w:szCs w:val="32"/>
      <w:lang w:eastAsia="en-US"/>
    </w:rPr>
  </w:style>
  <w:style w:type="paragraph" w:styleId="ListBullet">
    <w:name w:val="List Bullet"/>
    <w:basedOn w:val="List"/>
    <w:autoRedefine/>
    <w:unhideWhenUsed/>
    <w:rsid w:val="007664EC"/>
    <w:pPr>
      <w:spacing w:after="240"/>
      <w:ind w:left="0" w:firstLine="0"/>
      <w:contextualSpacing w:val="0"/>
      <w:jc w:val="both"/>
    </w:pPr>
    <w:rPr>
      <w:rFonts w:cs="Arial"/>
      <w:szCs w:val="24"/>
      <w:lang w:val="en-US" w:eastAsia="en-GB"/>
    </w:rPr>
  </w:style>
  <w:style w:type="paragraph" w:customStyle="1" w:styleId="Default">
    <w:name w:val="Default"/>
    <w:rsid w:val="007664EC"/>
    <w:pPr>
      <w:autoSpaceDE w:val="0"/>
      <w:autoSpaceDN w:val="0"/>
      <w:adjustRightInd w:val="0"/>
    </w:pPr>
    <w:rPr>
      <w:rFonts w:ascii="Arial" w:hAnsi="Arial" w:cs="Arial"/>
      <w:color w:val="000000"/>
      <w:sz w:val="24"/>
      <w:szCs w:val="24"/>
    </w:rPr>
  </w:style>
  <w:style w:type="table" w:styleId="TableGrid">
    <w:name w:val="Table Grid"/>
    <w:basedOn w:val="TableNormal"/>
    <w:rsid w:val="007664E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7664EC"/>
    <w:pPr>
      <w:ind w:left="283" w:hanging="283"/>
      <w:contextualSpacing/>
    </w:pPr>
  </w:style>
  <w:style w:type="character" w:customStyle="1" w:styleId="Heading4Char">
    <w:name w:val="Heading 4 Char"/>
    <w:basedOn w:val="DefaultParagraphFont"/>
    <w:link w:val="Heading4"/>
    <w:rsid w:val="007664EC"/>
    <w:rPr>
      <w:rFonts w:ascii="Arial" w:hAnsi="Arial" w:cs="Arial"/>
      <w:b/>
      <w:sz w:val="24"/>
      <w:lang w:eastAsia="en-US"/>
    </w:rPr>
  </w:style>
  <w:style w:type="character" w:styleId="Emphasis">
    <w:name w:val="Emphasis"/>
    <w:basedOn w:val="DefaultParagraphFont"/>
    <w:uiPriority w:val="20"/>
    <w:qFormat/>
    <w:rsid w:val="007664EC"/>
    <w:rPr>
      <w:b/>
      <w:bCs/>
      <w:i w:val="0"/>
      <w:iCs w:val="0"/>
    </w:rPr>
  </w:style>
  <w:style w:type="character" w:customStyle="1" w:styleId="st1">
    <w:name w:val="st1"/>
    <w:basedOn w:val="DefaultParagraphFont"/>
    <w:rsid w:val="007664EC"/>
  </w:style>
  <w:style w:type="paragraph" w:customStyle="1" w:styleId="ParagraphNumbering">
    <w:name w:val="Paragraph Numbering"/>
    <w:basedOn w:val="Normal"/>
    <w:rsid w:val="004001D6"/>
    <w:pPr>
      <w:keepNext/>
      <w:numPr>
        <w:ilvl w:val="1"/>
        <w:numId w:val="22"/>
      </w:numPr>
      <w:spacing w:before="240" w:after="120"/>
    </w:pPr>
    <w:rPr>
      <w:rFonts w:eastAsiaTheme="minorHAnsi" w:cs="Arial"/>
      <w:sz w:val="22"/>
      <w:szCs w:val="22"/>
      <w:lang w:eastAsia="en-GB"/>
    </w:rPr>
  </w:style>
  <w:style w:type="paragraph" w:customStyle="1" w:styleId="ERParanumbering">
    <w:name w:val="ER Para numbering"/>
    <w:basedOn w:val="Normal"/>
    <w:rsid w:val="004001D6"/>
    <w:pPr>
      <w:keepNext/>
      <w:numPr>
        <w:numId w:val="22"/>
      </w:numPr>
      <w:spacing w:before="240" w:after="120"/>
    </w:pPr>
    <w:rPr>
      <w:rFonts w:eastAsiaTheme="minorHAnsi" w:cs="Arial"/>
      <w:sz w:val="22"/>
      <w:szCs w:val="22"/>
      <w:lang w:eastAsia="en-GB"/>
    </w:rPr>
  </w:style>
  <w:style w:type="character" w:customStyle="1" w:styleId="Heading1Char">
    <w:name w:val="Heading 1 Char"/>
    <w:basedOn w:val="DefaultParagraphFont"/>
    <w:link w:val="Heading1"/>
    <w:rsid w:val="00FF344E"/>
    <w:rPr>
      <w:rFonts w:ascii="Arial Black" w:hAnsi="Arial Black" w:cs="Arial"/>
      <w:bCs/>
      <w:sz w:val="32"/>
      <w:szCs w:val="32"/>
      <w:lang w:eastAsia="en-US"/>
    </w:rPr>
  </w:style>
  <w:style w:type="paragraph" w:styleId="NormalWeb">
    <w:name w:val="Normal (Web)"/>
    <w:basedOn w:val="Normal"/>
    <w:unhideWhenUsed/>
    <w:rsid w:val="00FF344E"/>
    <w:pPr>
      <w:spacing w:before="100" w:beforeAutospacing="1" w:after="300"/>
    </w:pPr>
    <w:rPr>
      <w:rFonts w:ascii="Times New Roman" w:eastAsia="Calibri"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714">
      <w:bodyDiv w:val="1"/>
      <w:marLeft w:val="0"/>
      <w:marRight w:val="0"/>
      <w:marTop w:val="0"/>
      <w:marBottom w:val="0"/>
      <w:divBdr>
        <w:top w:val="none" w:sz="0" w:space="0" w:color="auto"/>
        <w:left w:val="none" w:sz="0" w:space="0" w:color="auto"/>
        <w:bottom w:val="none" w:sz="0" w:space="0" w:color="auto"/>
        <w:right w:val="none" w:sz="0" w:space="0" w:color="auto"/>
      </w:divBdr>
    </w:div>
    <w:div w:id="23559342">
      <w:bodyDiv w:val="1"/>
      <w:marLeft w:val="0"/>
      <w:marRight w:val="0"/>
      <w:marTop w:val="0"/>
      <w:marBottom w:val="0"/>
      <w:divBdr>
        <w:top w:val="none" w:sz="0" w:space="0" w:color="auto"/>
        <w:left w:val="none" w:sz="0" w:space="0" w:color="auto"/>
        <w:bottom w:val="none" w:sz="0" w:space="0" w:color="auto"/>
        <w:right w:val="none" w:sz="0" w:space="0" w:color="auto"/>
      </w:divBdr>
    </w:div>
    <w:div w:id="35981150">
      <w:bodyDiv w:val="1"/>
      <w:marLeft w:val="0"/>
      <w:marRight w:val="0"/>
      <w:marTop w:val="0"/>
      <w:marBottom w:val="0"/>
      <w:divBdr>
        <w:top w:val="none" w:sz="0" w:space="0" w:color="auto"/>
        <w:left w:val="none" w:sz="0" w:space="0" w:color="auto"/>
        <w:bottom w:val="none" w:sz="0" w:space="0" w:color="auto"/>
        <w:right w:val="none" w:sz="0" w:space="0" w:color="auto"/>
      </w:divBdr>
    </w:div>
    <w:div w:id="93870911">
      <w:bodyDiv w:val="1"/>
      <w:marLeft w:val="0"/>
      <w:marRight w:val="0"/>
      <w:marTop w:val="0"/>
      <w:marBottom w:val="0"/>
      <w:divBdr>
        <w:top w:val="none" w:sz="0" w:space="0" w:color="auto"/>
        <w:left w:val="none" w:sz="0" w:space="0" w:color="auto"/>
        <w:bottom w:val="none" w:sz="0" w:space="0" w:color="auto"/>
        <w:right w:val="none" w:sz="0" w:space="0" w:color="auto"/>
      </w:divBdr>
    </w:div>
    <w:div w:id="233930090">
      <w:bodyDiv w:val="1"/>
      <w:marLeft w:val="0"/>
      <w:marRight w:val="0"/>
      <w:marTop w:val="0"/>
      <w:marBottom w:val="0"/>
      <w:divBdr>
        <w:top w:val="none" w:sz="0" w:space="0" w:color="auto"/>
        <w:left w:val="none" w:sz="0" w:space="0" w:color="auto"/>
        <w:bottom w:val="none" w:sz="0" w:space="0" w:color="auto"/>
        <w:right w:val="none" w:sz="0" w:space="0" w:color="auto"/>
      </w:divBdr>
    </w:div>
    <w:div w:id="383481520">
      <w:bodyDiv w:val="1"/>
      <w:marLeft w:val="0"/>
      <w:marRight w:val="0"/>
      <w:marTop w:val="0"/>
      <w:marBottom w:val="0"/>
      <w:divBdr>
        <w:top w:val="none" w:sz="0" w:space="0" w:color="auto"/>
        <w:left w:val="none" w:sz="0" w:space="0" w:color="auto"/>
        <w:bottom w:val="none" w:sz="0" w:space="0" w:color="auto"/>
        <w:right w:val="none" w:sz="0" w:space="0" w:color="auto"/>
      </w:divBdr>
    </w:div>
    <w:div w:id="493765216">
      <w:bodyDiv w:val="1"/>
      <w:marLeft w:val="0"/>
      <w:marRight w:val="0"/>
      <w:marTop w:val="0"/>
      <w:marBottom w:val="0"/>
      <w:divBdr>
        <w:top w:val="none" w:sz="0" w:space="0" w:color="auto"/>
        <w:left w:val="none" w:sz="0" w:space="0" w:color="auto"/>
        <w:bottom w:val="none" w:sz="0" w:space="0" w:color="auto"/>
        <w:right w:val="none" w:sz="0" w:space="0" w:color="auto"/>
      </w:divBdr>
    </w:div>
    <w:div w:id="567887573">
      <w:bodyDiv w:val="1"/>
      <w:marLeft w:val="0"/>
      <w:marRight w:val="0"/>
      <w:marTop w:val="0"/>
      <w:marBottom w:val="0"/>
      <w:divBdr>
        <w:top w:val="none" w:sz="0" w:space="0" w:color="auto"/>
        <w:left w:val="none" w:sz="0" w:space="0" w:color="auto"/>
        <w:bottom w:val="none" w:sz="0" w:space="0" w:color="auto"/>
        <w:right w:val="none" w:sz="0" w:space="0" w:color="auto"/>
      </w:divBdr>
    </w:div>
    <w:div w:id="802432047">
      <w:bodyDiv w:val="1"/>
      <w:marLeft w:val="0"/>
      <w:marRight w:val="0"/>
      <w:marTop w:val="0"/>
      <w:marBottom w:val="0"/>
      <w:divBdr>
        <w:top w:val="none" w:sz="0" w:space="0" w:color="auto"/>
        <w:left w:val="none" w:sz="0" w:space="0" w:color="auto"/>
        <w:bottom w:val="none" w:sz="0" w:space="0" w:color="auto"/>
        <w:right w:val="none" w:sz="0" w:space="0" w:color="auto"/>
      </w:divBdr>
    </w:div>
    <w:div w:id="935286629">
      <w:bodyDiv w:val="1"/>
      <w:marLeft w:val="0"/>
      <w:marRight w:val="0"/>
      <w:marTop w:val="0"/>
      <w:marBottom w:val="0"/>
      <w:divBdr>
        <w:top w:val="none" w:sz="0" w:space="0" w:color="auto"/>
        <w:left w:val="none" w:sz="0" w:space="0" w:color="auto"/>
        <w:bottom w:val="none" w:sz="0" w:space="0" w:color="auto"/>
        <w:right w:val="none" w:sz="0" w:space="0" w:color="auto"/>
      </w:divBdr>
    </w:div>
    <w:div w:id="980115556">
      <w:bodyDiv w:val="1"/>
      <w:marLeft w:val="0"/>
      <w:marRight w:val="0"/>
      <w:marTop w:val="0"/>
      <w:marBottom w:val="0"/>
      <w:divBdr>
        <w:top w:val="none" w:sz="0" w:space="0" w:color="auto"/>
        <w:left w:val="none" w:sz="0" w:space="0" w:color="auto"/>
        <w:bottom w:val="none" w:sz="0" w:space="0" w:color="auto"/>
        <w:right w:val="none" w:sz="0" w:space="0" w:color="auto"/>
      </w:divBdr>
    </w:div>
    <w:div w:id="1054354416">
      <w:bodyDiv w:val="1"/>
      <w:marLeft w:val="0"/>
      <w:marRight w:val="0"/>
      <w:marTop w:val="0"/>
      <w:marBottom w:val="0"/>
      <w:divBdr>
        <w:top w:val="none" w:sz="0" w:space="0" w:color="auto"/>
        <w:left w:val="none" w:sz="0" w:space="0" w:color="auto"/>
        <w:bottom w:val="none" w:sz="0" w:space="0" w:color="auto"/>
        <w:right w:val="none" w:sz="0" w:space="0" w:color="auto"/>
      </w:divBdr>
    </w:div>
    <w:div w:id="1068192117">
      <w:bodyDiv w:val="1"/>
      <w:marLeft w:val="0"/>
      <w:marRight w:val="0"/>
      <w:marTop w:val="0"/>
      <w:marBottom w:val="0"/>
      <w:divBdr>
        <w:top w:val="none" w:sz="0" w:space="0" w:color="auto"/>
        <w:left w:val="none" w:sz="0" w:space="0" w:color="auto"/>
        <w:bottom w:val="none" w:sz="0" w:space="0" w:color="auto"/>
        <w:right w:val="none" w:sz="0" w:space="0" w:color="auto"/>
      </w:divBdr>
    </w:div>
    <w:div w:id="1117213080">
      <w:bodyDiv w:val="1"/>
      <w:marLeft w:val="0"/>
      <w:marRight w:val="0"/>
      <w:marTop w:val="0"/>
      <w:marBottom w:val="0"/>
      <w:divBdr>
        <w:top w:val="none" w:sz="0" w:space="0" w:color="auto"/>
        <w:left w:val="none" w:sz="0" w:space="0" w:color="auto"/>
        <w:bottom w:val="none" w:sz="0" w:space="0" w:color="auto"/>
        <w:right w:val="none" w:sz="0" w:space="0" w:color="auto"/>
      </w:divBdr>
    </w:div>
    <w:div w:id="1149591487">
      <w:bodyDiv w:val="1"/>
      <w:marLeft w:val="0"/>
      <w:marRight w:val="0"/>
      <w:marTop w:val="0"/>
      <w:marBottom w:val="0"/>
      <w:divBdr>
        <w:top w:val="none" w:sz="0" w:space="0" w:color="auto"/>
        <w:left w:val="none" w:sz="0" w:space="0" w:color="auto"/>
        <w:bottom w:val="none" w:sz="0" w:space="0" w:color="auto"/>
        <w:right w:val="none" w:sz="0" w:space="0" w:color="auto"/>
      </w:divBdr>
    </w:div>
    <w:div w:id="1233394137">
      <w:bodyDiv w:val="1"/>
      <w:marLeft w:val="0"/>
      <w:marRight w:val="0"/>
      <w:marTop w:val="0"/>
      <w:marBottom w:val="0"/>
      <w:divBdr>
        <w:top w:val="none" w:sz="0" w:space="0" w:color="auto"/>
        <w:left w:val="none" w:sz="0" w:space="0" w:color="auto"/>
        <w:bottom w:val="none" w:sz="0" w:space="0" w:color="auto"/>
        <w:right w:val="none" w:sz="0" w:space="0" w:color="auto"/>
      </w:divBdr>
    </w:div>
    <w:div w:id="1424373171">
      <w:bodyDiv w:val="1"/>
      <w:marLeft w:val="0"/>
      <w:marRight w:val="0"/>
      <w:marTop w:val="0"/>
      <w:marBottom w:val="0"/>
      <w:divBdr>
        <w:top w:val="none" w:sz="0" w:space="0" w:color="auto"/>
        <w:left w:val="none" w:sz="0" w:space="0" w:color="auto"/>
        <w:bottom w:val="none" w:sz="0" w:space="0" w:color="auto"/>
        <w:right w:val="none" w:sz="0" w:space="0" w:color="auto"/>
      </w:divBdr>
    </w:div>
    <w:div w:id="1509178255">
      <w:bodyDiv w:val="1"/>
      <w:marLeft w:val="0"/>
      <w:marRight w:val="0"/>
      <w:marTop w:val="0"/>
      <w:marBottom w:val="0"/>
      <w:divBdr>
        <w:top w:val="none" w:sz="0" w:space="0" w:color="auto"/>
        <w:left w:val="none" w:sz="0" w:space="0" w:color="auto"/>
        <w:bottom w:val="none" w:sz="0" w:space="0" w:color="auto"/>
        <w:right w:val="none" w:sz="0" w:space="0" w:color="auto"/>
      </w:divBdr>
    </w:div>
    <w:div w:id="1529370638">
      <w:bodyDiv w:val="1"/>
      <w:marLeft w:val="0"/>
      <w:marRight w:val="0"/>
      <w:marTop w:val="0"/>
      <w:marBottom w:val="0"/>
      <w:divBdr>
        <w:top w:val="none" w:sz="0" w:space="0" w:color="auto"/>
        <w:left w:val="none" w:sz="0" w:space="0" w:color="auto"/>
        <w:bottom w:val="none" w:sz="0" w:space="0" w:color="auto"/>
        <w:right w:val="none" w:sz="0" w:space="0" w:color="auto"/>
      </w:divBdr>
    </w:div>
    <w:div w:id="1589540472">
      <w:bodyDiv w:val="1"/>
      <w:marLeft w:val="0"/>
      <w:marRight w:val="0"/>
      <w:marTop w:val="0"/>
      <w:marBottom w:val="0"/>
      <w:divBdr>
        <w:top w:val="none" w:sz="0" w:space="0" w:color="auto"/>
        <w:left w:val="none" w:sz="0" w:space="0" w:color="auto"/>
        <w:bottom w:val="none" w:sz="0" w:space="0" w:color="auto"/>
        <w:right w:val="none" w:sz="0" w:space="0" w:color="auto"/>
      </w:divBdr>
    </w:div>
    <w:div w:id="168377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cqc.org.uk/sites/default/files/20140919_cqc_a_fresh_start_substance_misuse_final_low_res.pdf" TargetMode="External"/><Relationship Id="rId3" Type="http://schemas.microsoft.com/office/2007/relationships/stylesWithEffects" Target="stylesWithEffects.xml"/><Relationship Id="rId21" Type="http://schemas.openxmlformats.org/officeDocument/2006/relationships/hyperlink" Target="https://www.gov.uk/government/publications/alcohol-and-drug-prevention-treatment-and-recovery-why-invest/alcohol-and-drug-prevention-treatment-and-recovery-why-inves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ons.gov.uk/peoplepopulationandcommunity/birthsdeathsandmarriages/deaths/bulletins/deathsrelatedtodrugpoisoninginenglandandwales/2017registrations" TargetMode="External"/><Relationship Id="rId2" Type="http://schemas.openxmlformats.org/officeDocument/2006/relationships/styles" Target="styles.xml"/><Relationship Id="rId16" Type="http://schemas.openxmlformats.org/officeDocument/2006/relationships/hyperlink" Target="https://www.gov.uk/government/publications/parental-alcohol-and-drug-use-understanding-the-problem" TargetMode="External"/><Relationship Id="rId20" Type="http://schemas.openxmlformats.org/officeDocument/2006/relationships/hyperlink" Target="http://www.cqc.org.uk/location/1-328525320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parental-alcohol-and-drug-use-understanding-the-proble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cqc.org.uk/sites/default/files/20171130_briefing_sms_residential_detox.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3197</Words>
  <Characters>19438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22590</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mwearing</cp:lastModifiedBy>
  <cp:revision>6</cp:revision>
  <cp:lastPrinted>2007-07-12T09:53:00Z</cp:lastPrinted>
  <dcterms:created xsi:type="dcterms:W3CDTF">2019-07-02T14:10:00Z</dcterms:created>
  <dcterms:modified xsi:type="dcterms:W3CDTF">2019-07-11T13:40:00Z</dcterms:modified>
</cp:coreProperties>
</file>